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4393" w:right="0" w:firstLine="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Бучанська районна державна адміністрація</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4393" w:right="0" w:firstLine="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Адреса: 08292, Київська обл., місто Буча, вул. Енергетиків, будинок 12 Адреса місцезнаходження: 03115, м. Київ, проспект Перемоги, 126 Ідентифікаційний код: 44014159 Тел. (044)299-59-90 e-mail: vdoc@bucha-rda.gov.ua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4393" w:right="0" w:firstLine="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Заявник:___________________________ _</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4393" w:right="0" w:firstLine="0"/>
        <w:jc w:val="righ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40" w:righ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Заява</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40" w:righ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(клопотання)</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40" w:righ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про визнання громадських слухань такими, що не відбулись, та поновлення громадського обговорення проекту документу «Детальний план території щодо будівництва Великої кільцевої автомобільної дороги навколо м. Києва від автомобільної дороги Київ-Ковель-Ягодин (М-07) до автомобільної дороги Київ-Чоп (М-06) (орієнтовною площею 285 га) на території Бучанського району Київської області» після виконання відповідних вимог чинного законодавства</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 випуску газети «Бучанські новини», №27 за 09 липня 2021 року, на сторінці 8 з- поміж інформації про програму телепередач на 12-18 липня, викладено оголошення про те, що розпочато процедуру громадських обговорень щодо розроблення містобудівної документації «Детальний план території щодо будівництва великої кільцевої автомобільної дороги навколо м. Києва від автомобільної дороги Київ-Ковель-Ягодин (М-07) до автомобільної дороги Київ-Чоп (М-06) (орієнтовною площею 285 га) на території Бучанського району» (надалі за текстом - ДПТ), які триватимуть з 09 липня 2021 року по 07.08.2021 року за адресою: 03115, м. Київ, проспект Перемоги, 126.</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Також в цьому оголошенні зазначено, що вищезазначена містобудівна документація виконана на підставі розпорядження Бучанської РДА №51 від 07.05.2021 р. Повідомляється в оголошенні й про те, що детально з інформацією можна ознайомитись у Бучанській РДА за вказаною адресою, а громадські слухання будуть проводитись 23 липня 2021 р. о 16.00.</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Відповідно до Закону України «Про регулювання містобудівної діяльності» детальний план території є одним з видів містобудівної та землевпорядної документації, який відповідно до ст. 21 вказаного Закону України підлягає громадському обговоренню.</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Відповідно до ч. 4 ст. 21 Закону України «Про регулювання містобудівної діяльності» підставою для подання громадськістю пропозицій до проекту містобудівної документації є оприлюднення прийнятих рішень щодо розроблення містобудівної документації на місцевому рівні та проектів містобудівної документації на місцевому рівні.</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Частина 5 ст. 21 Закону України «Про регулювання містобудівної діяльності» встановлює, що пропозиції громадськості подаються у строк, визначений для проведення процедури громадського обговорення, який не може становити менш як ЗО днів з дня оприлюднення проекту містобудівної документації на місцевому рівні.</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Згідно з ч. 6 ст. 21 Закону України «Про регулювання містобудівної діяльності» громадські слухання щодо проектів містобудівної документації на місцевому рівні проводяться у строк, визначений для проведення процедури громадського обговорення, але не раніше 10 днів з дня оприлюднення проекту містобудівної документації на місцевому рівні.</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Пунктами 1 і 2 ч. З ст. 21 Закону України «Про регулювання містобудівної діяльності» визначається, що замовник містобудівної документації зобов’язаний забезпечити оприлюднення прийнятих рішень щодо розроблення містобудівної документації.</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Пунктами 1 і 2 ч. 3 ст. 21 Закону України «Про регулювання містобудівної діяльності» визначається, що замовник містобудівної документації зобов'язаний забезпечити оприлюднення прийнятих рішень щодо розроблення містобудівної документації на місцевому рівні з прогнозованими правовими, економічними наслідками та наслідками для довкілля, у тому числі для здоров’я населення, а також оприлюднення проектів містобудівної документації на місцевому рівні, пояснювальної записки, розділу «Охорона навколишнього природного середовища» або звіту про стратегічну екологічну оцінку на своїх офіційних веб-сайтах, та забезпечити вільний доступ до такої інформації громадськості.</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Відповідно до п. 4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№555 від 25 травня 2011 р. (надалі за текстом - Порядок), замовники містобудівної документації оприлюднюють ту двотижневий строк прийняті рішення щодо розроблення проектів містобудівної документації шляхом опублікування таких рішень у засобах масової інформації, що поширюються на відповідній території, а також розміщення на офіційному веб-сайті замовника містобудівної документації.</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Оприлюднення розроблених в установленому законодавством порядку проектів містобудівної документації здійснюється не пізніше як у місячний строк з дня їх подання розробником до виконавчого органу сільської, селищної, міської ради шляхом розміщення матеріалів (планшетів, макетів) у визначеному органом місцевого самоврядування місці та інформування громадян через розповсюдження брошур і повідомлень, засоби масової інформації, що поширюються на відповідній території, а також розміщення інформації на офіційному веб-сайті замовника містобудівної документації.</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 викладеного вбачається, що станом на 09 липня 2021 року, тобто на дату, яка оголошена Бучанською РДА датою початку громадських обговорень, та на дату призначення громадських слухань, тобто станом на 23 липня 2021 року, проект ДПТ мав бути виконаний у повному обсязі відповідно до вимог чинного законодавства та завдання замовника і опублікований разом з рішенням щодо його розроблення у встановленому законом порядку. Бучанською РДА як замовником проекту громадськості мала бути забезпечена можливість вільного доступу до проекту ДПТ для належного ознайомлення з проектом з метою забезпечення гарантованого державою права громадськості на обговорення цього документу.</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Аналіз наявних документів, дій Бучанської РДА як замовника розробки проекту містобудівної документації, обставини проведення так званих громадських слухань та зміст пояснень представників замовника і розробника ДПТ свідчать про те, що вищевказані вимоги чинного законодавства не виконані. Зазначене підтверджується наступним: 1. На сьогоднішній день відсутні докази публікації у друкованих засобах масових інформації станом на 09 липня 2021 року (дата оголошення початку громадського обговорення) та 23 липня 2021 року (дата призначення громадських слухань) рішення Бучанської РДА щодо розроблення проекту ДПТ (розпорядження Бучанської РДА від 07.05.2021 р. №51), а також самого проекту ДПТ у засобах масової інформації, що поширюються на територію Бучанського району Київської області, та на офіційному сайті Бучанської РДА. Даний факт підтверджується й Бучанською РДА, що озвучено під час так званих громадських слухань та зафіксовано на записі фіксації проведення цього заходу. За словами Бучанської РДА проект ДПТ був опублікований на веб-сайті шляхом викладення посилання під текстом заяви про визначення обсягу стратегічної екологічної оцінки проекту документу державного планування - «Детальний план території щодо будівництва Великої кільцевої автомобільної дороги навколо м. Києва від автомобільної дороги Київ - Ковель - Ягодин (М-07) до автомобільної дороги Київ - Чоп (М-06) (орієнтовною площею 285 га) на території Бучанського району Київської області». Згідно з листом Бучанської РДА від 03.08.2021 р. №01.3-35/933 дата цієї публікації - ЗО липня 2021 року.</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Щодо надання можливості ознайомитись з проектом ДПТ за адресою Бучанської РДА, як про це зазначено у повідомленні про початок громадських обговорень цього проекту, слід зазначити наступне. Неодноразові звернення представників ____ до в.о. начальника відділу містобудування та архітектури Бучанської районної державної адміністрації Пащенко Л.В., яка зазначена як особа, відповідальна за організацію розгляду пропозицій, не мали своїм наслідком задоволення клопотання про надання проекту ДПТ для ознайомлення. Тобто, всупереч вимогам законодавства та анонсованої в повідомленні можливості ознайомлення з матеріалами, документи не були надані представникам громадськості.</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Вперше матеріали проекту ДПТ (текстова і графічна частина разом з усіма необхідними додатками) потрапила до рук представника _______ під час так званих громадських слухань, на відповідне прохання, адресоване представнику розробника, яка представляла проект. З огляду на обсяг такого документу, складності та багатоаспектності інформації, яка в ньому міститься, очевидно, що проаналізувати цей документ на місці було неможливо.</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Станом на оголошену дату початку громадського обговорення (09 липня 2021 року), а також станом на оголошену дату громадських слухань (23 липня 2021 року) не існувало ДПТ в складі та обсязі, передбаченому чинним законодавством України.</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2.1. Так, відповідно до норм ч. 2 ст. 11 Закону України «Про регулювання містобудівної діяльності» та ст. 2, ч. 2 ст. 10 Закону України «Про стратегічну екологічну оцінку» ДПТ як різновид містобудівної документації та як документ державного планування підлягає стратегічній екологічній оцінці.</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Зокрема, ст. 2 Закону України «Про стратегічну екологічну оцінку» визначає, що цей Закон поширюється на документи державного планування, які стосуються, зокрема, транспорту, та виконання яких передбачатиме реалізацію видів діяльності (або які містять види діяльності та об’єкти), щодо яких законодавством передбачено здійснення процедури оцінки впливу на довкілля.</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Згідно з п. 7 ч. 2 ст. З Закону України «Про оцінку впливу на довкілля» будівництво автомобільних доріг загального користування державного та місцевого значення, що мають чотири чи більше смуги руху, або реконструкція та/або розширення наявних смуг руху до чотирьох і більше, за умови їхньої безперервної протяжності 10 кілометрів і більше, а також автомобільних доріг першої категорії, належить до першої категорії видів планованої діяльності та об’єктів, які можуть мати значний вплив на довкілля і підлягають оцінці впливу на довкілля.</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Відповідно до текстової частини ДПТ велика кільцева автомобільна дорога навколо м. Києва на території Бучанського району Київської області (надалі за текстом - ВКАД) належить до першої категорії автомобільних доріг, належить до та відповідає усім вказаним технічним параметрам. У зв’язку з цим обов’язковість виконання стратегічної екологічної оцінки проекту ДПТ не викликає сумнівів, оскільки будівництво автомобільних доріг відповідно до Галузевих будівельних норм В.2.3-218-007:2012 віднесено до екологічно небезпечних видів діяльності крім того, у Ч. 2 ст. 19 Закону України «Про регулювання містобудівної діяльності» прямо зазначено, що детальний план території підлягає стратегічній екологічній оцінці.</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Враховуючи вищенаведені норми законодавства, проведення ґрунтовної оцінки впливу на довкілля, зокрема, підготовка й проведення стратегічної екологічної оцінки щодо проекту будівництва ВКАД, є обов’язковим. р " Обов’язковість виконання стратегічної екологічної оцінки такого виду містобудівної документації, як детальний план території, підтверджується також змістом розділу IV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від 10.08.2018 р. №296 (надалі - Методичні рекомендації).</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Відповідно до розділу III Методичних рекомендацій, CEO (стратегічну екологічну оцінку) слід проводити на ранніх етапах процесу розроблення проекту ДДП (документ державного планування), коли розглядаються всі альтернативи та варіанти дій до подання його для затвердження, У процесі здійснення CEO доцільно оцінити обґрунтоване коло альтернатив, беручи до уваги те, що їх масштаб залежатиме від рівня прийняття рішення, та визначити найоптимальніший для забезпечення сталого розвитку сценарій та запропонувати максимально можливий рівень збереження довкілля. У процесі здійснення CEO доцільно надавати можливості для участі громадськості, починаючи з ранньої стадії процесу, коли ще існують альтернативні варіанти, з використанням чітких процедур та використовувати ті методи консультацій, які легко застосовувати та які відповідають специфіці цільових груп.</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Вказані рекомендації цілком відповідають положенням ст. 6 Конвенцію про доступ до інформації, участь громадськості в процесі прийняття рішень та доступ до правосуддя з питань, що стосуються довкілля, ратифікованої Законом України №832-XIV від 06.07.99 р. (Орхуська Конвенція), а також нормам ст. 8 Протоколу про стратегічну екологічну оцінку до Конвенції про оцінку впливу на навколишнє середовище у транскордонному контексті, ратифікованого Законом України № 562-VIII від 01.07.2015 р.</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Відповідно до до ч. З ст. 11 Закону України «Про стратегічну екологічну оцінку» у складі містобудівної документації звітом про стратегічну екологічну оцінку для проектів містобудівної документації є розділ «Охорона навколишнього природного середовища», який має відповідати вимогам частини другої цієї статті.</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Більш того, ТОВ «ІНСТИТУТ ТЕРИТОРІАЛЬНОГО ПЛАНУВАННЯ» як розробник проекту ДПТ зобов’язаний був виконати стратегічну екологічну оцінку ДПТ відповідно до п. 17 Завдання на розроблення, затвердженого головою Бучанської РДА 26 травня 2021 року та погодженого розробником 01 червня 2021 року (надалі - Завдання).</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CEO, як вбачається зі змісту відповідної колонки Завдання, визначена замовником як додаткова вимога до змісту окремих розділів ДПТ.</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 вищенаведених норм законодавства та змісту Завдання виливає, що CEO має виконуватись не після громадського обговорення ДПТ, а до такого обговорення, адже звіт про CEO є однією з невід’ємних частин зазначеного виду містобудівної документації.</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Станом на дату так званих громадських слухань, тобто на 23 липня 2021 року, стратегічну екологічну оцінку (CEO) проекту детального плану території не виконано, що підтверджено головним архітектором проекту А. Морозік під час громадських слухань, а отже ДПТ не існував в обсязі, передбаченому завданням замовника.</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Підтвердженням відсутності CEO станом на вищевказану дату є також лист Бучанської РДА від 03.08.2021 року №01.3-35/933, згідно з яким заяву про визначення обсягу стратегічної екологічної оцінки ДПТ оприлюднено на сайті Бучанської РДА 30 липня 2021 року, і на даний момент триває етап визначення обсягу стратегічної екологічної оцінки.</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Очевидно, що розділ 14 текстової частини ДПТ «Охорона навколишнього природного середовища» не відповідає вимогам Закону України «Про стратегічну екологічну оцінку», зокрема, ст.ст. 9-13, ні за змістом, ні за порядком і процедурою його обговорення і погодження, у зв'язку з чим включення його до текстової частині ДПТ не є виконанням вимог законодавства України про стратегічну екологічну оцінку та Завдання на розроблення ДПТ.</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2.2. Крім того, підтвердженням відсутності проекту ДПТ у повному обсязі станом на дату громадських слухань, слугує наступний факт.</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Згідно з розділом 2 Текстової частини ДПТ, яка має назву «Природні та інженерно- геологічні особливості території» (стор. 13) в межах території проектування протікають річки Буча, Мислін, Мокра. Далі наведена коротка характеристика зазначених водних об’єктів із посиланням на джерело такої інформації, а саме лист Басейнового управління водних ресурсів середнього Дніпра Державного агентства водних ресурсів України від 19.07.2021 року №01-12/902. Даний лист також міститься у додатках до ДПТ.</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Таким чином, станом, щонайменше, на 19 липня 2021 року проекту ДПТ не існувало, оскільки не була складена його текстова частина, зокрема розділ 2. За таких умов Бучанська РДА не могла оголошувати початок громадського обговорення 09 липня 2021 року.</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 урахуванням наведених вище обставин, громадські обговорення проекту ДПТ не могли бути розпочаті, а громадські слухання не могли проводитись, адже станом на 09 та 23 липня поточного року предмет обговорення був відсутній як фізично, так і у доступі громадськості.</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Враховуючи наведені вище обставини, керуючись положеннями ст. 16, ч. 2 ст. 19, ч. 1 ст. 38, ст. ст. 40, 50 Конституції України, Законом України «Про звернення громадян», ст. 8 Протоколу про стратегічну екологічну оцінку до Конвенції про оцінку впливу на навколишнє середовище у транскордонному контексті, ст. ст. 6, 7 Конвенції про доступ до інформації, участь громадськості в процесі прийняття рішень та доступ до правосуддя з питань, що стосуються довкілля (Орхуська Конвенція), ст. 12 Закону України «Про стратегічну екологічну оцінку», ст. ст. 19, 21 Закону України «Про регулювання містобудівної діяльності», ст. 2 Закону України «Про місцеві державні адміністрації», нормами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№555 від 25 травня 2011 р.,</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просимо:</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зважити на тяжкість наслідків вищенаведених порушень законодавства України для довкілля, прав та охоронюваних законом інтересів громадян і юридичних осіб;</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визнати так зване громадське обговорення, розпочате 09 липня 2021 року, і так звані громадські слухання, проведені 23 липня 2021 року, щодо розгляду ДПТ такими, що не відбулись;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здійснити розробку ДПТ у відповідності до вимог законодавства на підставі вихідних даних, актуалізованих на 01.01.2021 р;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здійснити громадське обговорення та провести громадські слухання щодо проекту ДПТ у відповідності до вимог чинного законодавства, зокрема, після виконання вимог законодавства щодо проведення стратегічної екологічної оцінки проекту,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опублікування усіх необхідних документів у встановленому законом порядку, надання у встановлений законодавством спосіб належного доступу громадськості до вказаних документів і забезпечення можливості належного ознайомлення з ними;</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41.73228346456688" w:righ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повідомити у письмовій формі у строки, визначені чинним законодавством про результати розгляду цього звернення, з додаванням належним чином засвідчених копій усіх документів, які підтверджуватимуть наведені у відповіді обставини.</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4393" w:right="0" w:firstLine="0"/>
        <w:jc w:val="right"/>
        <w:rPr>
          <w:rFonts w:ascii="Times New Roman" w:cs="Times New Roman" w:eastAsia="Times New Roman" w:hAnsi="Times New Roman"/>
          <w:b w:val="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4393" w:right="0" w:firstLine="0"/>
        <w:jc w:val="righ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 Бучанська районна державна адміністрація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4393" w:right="0" w:firstLine="0"/>
        <w:jc w:val="righ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Київської області </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46" w:line="240" w:lineRule="auto"/>
        <w:ind w:left="4393" w:right="-646" w:firstLine="0"/>
        <w:jc w:val="righ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03115, м.Київ, просп. Перемоги, 126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46" w:line="240" w:lineRule="auto"/>
        <w:ind w:left="4393" w:right="-646" w:firstLine="0"/>
        <w:jc w:val="righ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46" w:line="240" w:lineRule="auto"/>
        <w:ind w:left="4393" w:right="-646" w:firstLine="0"/>
        <w:jc w:val="righ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tbl>
      <w:tblPr>
        <w:tblStyle w:val="Table1"/>
        <w:tblW w:w="9980.0" w:type="dxa"/>
        <w:jc w:val="left"/>
        <w:tblInd w:w="0.0" w:type="dxa"/>
        <w:tblLayout w:type="fixed"/>
        <w:tblLook w:val="0400"/>
      </w:tblPr>
      <w:tblGrid>
        <w:gridCol w:w="3828"/>
        <w:gridCol w:w="6152"/>
        <w:tblGridChange w:id="0">
          <w:tblGrid>
            <w:gridCol w:w="3828"/>
            <w:gridCol w:w="6152"/>
          </w:tblGrid>
        </w:tblGridChange>
      </w:tblGrid>
      <w:tr>
        <w:trPr>
          <w:cantSplit w:val="0"/>
          <w:tblHeader w:val="0"/>
        </w:trPr>
        <w:tc>
          <w:tcPr>
            <w:tcMar>
              <w:top w:w="0.0" w:type="dxa"/>
              <w:left w:w="115.0" w:type="dxa"/>
              <w:bottom w:w="0.0" w:type="dxa"/>
              <w:right w:w="115.0" w:type="dxa"/>
            </w:tcMar>
          </w:tcPr>
          <w:p w:rsidR="00000000" w:rsidDel="00000000" w:rsidP="00000000" w:rsidRDefault="00000000" w:rsidRPr="00000000" w14:paraId="00000037">
            <w:pPr>
              <w:spacing w:line="240" w:lineRule="auto"/>
              <w:ind w:left="1014" w:firstLine="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38">
            <w:pPr>
              <w:spacing w:line="240" w:lineRule="auto"/>
              <w:jc w:val="right"/>
              <w:rPr>
                <w:rFonts w:ascii="Times New Roman" w:cs="Times New Roman" w:eastAsia="Times New Roman" w:hAnsi="Times New Roman"/>
                <w:b w:val="1"/>
                <w:sz w:val="24"/>
                <w:szCs w:val="24"/>
                <w:highlight w:val="white"/>
              </w:rPr>
            </w:pP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039">
            <w:pPr>
              <w:spacing w:line="240" w:lineRule="auto"/>
              <w:ind w:left="-29" w:right="-114" w:hanging="29"/>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Власники земельних ділянок /CТ /житлових будинків</w:t>
            </w:r>
          </w:p>
          <w:p w:rsidR="00000000" w:rsidDel="00000000" w:rsidP="00000000" w:rsidRDefault="00000000" w:rsidRPr="00000000" w14:paraId="0000003A">
            <w:pPr>
              <w:spacing w:line="240" w:lineRule="auto"/>
              <w:ind w:left="-29" w:right="-114" w:hanging="29"/>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які знаходяться за адресою  </w:t>
            </w:r>
          </w:p>
          <w:p w:rsidR="00000000" w:rsidDel="00000000" w:rsidP="00000000" w:rsidRDefault="00000000" w:rsidRPr="00000000" w14:paraId="0000003B">
            <w:pPr>
              <w:spacing w:line="240" w:lineRule="auto"/>
              <w:ind w:left="-29" w:right="-114" w:hanging="29"/>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Київська обл. Макарівський район,</w:t>
            </w:r>
          </w:p>
          <w:p w:rsidR="00000000" w:rsidDel="00000000" w:rsidP="00000000" w:rsidRDefault="00000000" w:rsidRPr="00000000" w14:paraId="0000003C">
            <w:pPr>
              <w:spacing w:line="240" w:lineRule="auto"/>
              <w:ind w:left="-58" w:right="-114" w:firstLine="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с.Миколаївка, вул.___________ </w:t>
            </w:r>
          </w:p>
        </w:tc>
      </w:tr>
    </w:tbl>
    <w:p w:rsidR="00000000" w:rsidDel="00000000" w:rsidP="00000000" w:rsidRDefault="00000000" w:rsidRPr="00000000" w14:paraId="0000003D">
      <w:pPr>
        <w:ind w:right="-330" w:firstLine="705"/>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3E">
      <w:pPr>
        <w:ind w:right="-330" w:firstLine="705"/>
        <w:jc w:val="righ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F">
      <w:pPr>
        <w:ind w:right="-330" w:firstLine="705"/>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Подається через </w:t>
      </w:r>
    </w:p>
    <w:p w:rsidR="00000000" w:rsidDel="00000000" w:rsidP="00000000" w:rsidRDefault="00000000" w:rsidRPr="00000000" w14:paraId="00000040">
      <w:pPr>
        <w:ind w:right="-330" w:firstLine="705"/>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Адреса _____</w:t>
      </w:r>
    </w:p>
    <w:p w:rsidR="00000000" w:rsidDel="00000000" w:rsidP="00000000" w:rsidRDefault="00000000" w:rsidRPr="00000000" w14:paraId="00000041">
      <w:pPr>
        <w:ind w:right="-330" w:firstLine="705"/>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42">
      <w:pPr>
        <w:ind w:right="-330" w:firstLine="705"/>
        <w:jc w:val="righ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3">
      <w:pPr>
        <w:ind w:right="-330" w:firstLine="70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                                  Заперечення та пропозиції </w:t>
      </w:r>
      <w:r w:rsidDel="00000000" w:rsidR="00000000" w:rsidRPr="00000000">
        <w:rPr>
          <w:rtl w:val="0"/>
        </w:rPr>
      </w:r>
    </w:p>
    <w:p w:rsidR="00000000" w:rsidDel="00000000" w:rsidP="00000000" w:rsidRDefault="00000000" w:rsidRPr="00000000" w14:paraId="00000044">
      <w:pPr>
        <w:ind w:right="-330" w:firstLine="705"/>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5">
      <w:pPr>
        <w:ind w:right="-330" w:firstLine="70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Ми, </w:t>
      </w:r>
      <w:r w:rsidDel="00000000" w:rsidR="00000000" w:rsidRPr="00000000">
        <w:rPr>
          <w:rFonts w:ascii="Times New Roman" w:cs="Times New Roman" w:eastAsia="Times New Roman" w:hAnsi="Times New Roman"/>
          <w:sz w:val="24"/>
          <w:szCs w:val="24"/>
          <w:highlight w:val="white"/>
          <w:rtl w:val="0"/>
        </w:rPr>
        <w:t xml:space="preserve">власники земельних ділянок СТ___________в с.Миколаївка звертаємось до Вас з приводу проведених громадських слуханнь 23.07.2021 р. (16-00 год.) за адресою 03115, м. Київ, проспект Перемоги, 126, щодо розроблення містобудівної документації «Детальний план території щодо будівництва Великої кільцевої автомобільної дороги навколо м. Києва (ВКАД) від автомобільної дороги Київ – Ковель – Ягодин (М-07) до автомобільної дороги Київ – Чоп (М-06) (орієнтовною площею 285 га) на території Бучанського району Київської області».</w:t>
      </w:r>
    </w:p>
    <w:p w:rsidR="00000000" w:rsidDel="00000000" w:rsidP="00000000" w:rsidRDefault="00000000" w:rsidRPr="00000000" w14:paraId="00000046">
      <w:pPr>
        <w:ind w:right="-33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7">
      <w:pPr>
        <w:ind w:right="-330" w:firstLine="70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Заперечуємо затвердженню містобудівної документації «Детальний план території щодо будівництва Великої кільцевої автомобільної дороги навколо м. Києва (ВКАД) від автомобільної дороги Київ – Ковель – Ягодин (М-07) до автомобільної дороги Київ – Чоп (М-06) (орієнтовною площею 285 га) на території Бучанського району Київської області, в частині будівництва дороги на території: лісового масиву (за схемою до якого  ОТГ відноситься) , поряд з  Садовим Товариством __________тощо в межах, с.Миколаївка  </w:t>
      </w:r>
      <w:r w:rsidDel="00000000" w:rsidR="00000000" w:rsidRPr="00000000">
        <w:rPr>
          <w:rFonts w:ascii="Times New Roman" w:cs="Times New Roman" w:eastAsia="Times New Roman" w:hAnsi="Times New Roman"/>
          <w:sz w:val="24"/>
          <w:szCs w:val="24"/>
          <w:highlight w:val="white"/>
          <w:rtl w:val="0"/>
        </w:rPr>
        <w:t xml:space="preserve">з наведених нижче підстав.</w:t>
      </w:r>
    </w:p>
    <w:p w:rsidR="00000000" w:rsidDel="00000000" w:rsidP="00000000" w:rsidRDefault="00000000" w:rsidRPr="00000000" w14:paraId="00000048">
      <w:pPr>
        <w:ind w:right="-330" w:firstLine="705"/>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9">
      <w:pPr>
        <w:ind w:right="-330" w:firstLine="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Відповідно до пункту 3 Постанови КМУ від 25 травня 2011 р.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Замовники містобудівної документації відповідно до частини третьої  статті  21  Закону України "Про регулювання містобудівної діяльності" забезпечують: </w:t>
      </w:r>
    </w:p>
    <w:p w:rsidR="00000000" w:rsidDel="00000000" w:rsidP="00000000" w:rsidRDefault="00000000" w:rsidRPr="00000000" w14:paraId="0000004A">
      <w:pPr>
        <w:ind w:right="-330" w:firstLine="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оприлюднення  прийнятих рішень щодо розроблення містобудівної документації   на  місцевому  рівні  з  прогнозованими  правовими, економічними  наслідками  та наслідками для довкілля, у тому числі для здоров’я населення; </w:t>
      </w:r>
    </w:p>
    <w:p w:rsidR="00000000" w:rsidDel="00000000" w:rsidP="00000000" w:rsidRDefault="00000000" w:rsidRPr="00000000" w14:paraId="0000004B">
      <w:pPr>
        <w:ind w:right="-327"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оприлюднення проектів містобудівної документації на місцевому рівні,   пояснювальної  записки,  розділу  "Охорона  навколишнього природного середовища" або звіту про стратегічну екологічну оцінку на  своїх  офіційних  веб-сайтах,  а також вільний доступ до такої інформації громадськості.</w:t>
      </w:r>
    </w:p>
    <w:p w:rsidR="00000000" w:rsidDel="00000000" w:rsidP="00000000" w:rsidRDefault="00000000" w:rsidRPr="00000000" w14:paraId="0000004C">
      <w:pPr>
        <w:ind w:right="-327" w:firstLine="709"/>
        <w:jc w:val="both"/>
        <w:rPr>
          <w:rFonts w:ascii="Times New Roman" w:cs="Times New Roman" w:eastAsia="Times New Roman" w:hAnsi="Times New Roman"/>
          <w:sz w:val="24"/>
          <w:szCs w:val="24"/>
          <w:highlight w:val="white"/>
        </w:rPr>
      </w:pPr>
      <w:bookmarkStart w:colFirst="0" w:colLast="0" w:name="_gjdgxs" w:id="0"/>
      <w:bookmarkEnd w:id="0"/>
      <w:r w:rsidDel="00000000" w:rsidR="00000000" w:rsidRPr="00000000">
        <w:rPr>
          <w:rFonts w:ascii="Times New Roman" w:cs="Times New Roman" w:eastAsia="Times New Roman" w:hAnsi="Times New Roman"/>
          <w:sz w:val="24"/>
          <w:szCs w:val="24"/>
          <w:highlight w:val="white"/>
          <w:rtl w:val="0"/>
        </w:rPr>
        <w:t xml:space="preserve">Проте, крім двох зображень автомобільної дороги </w:t>
      </w:r>
      <w:r w:rsidDel="00000000" w:rsidR="00000000" w:rsidRPr="00000000">
        <w:rPr>
          <w:rFonts w:ascii="Times New Roman" w:cs="Times New Roman" w:eastAsia="Times New Roman" w:hAnsi="Times New Roman"/>
          <w:sz w:val="24"/>
          <w:szCs w:val="24"/>
          <w:highlight w:val="white"/>
          <w:rtl w:val="0"/>
        </w:rPr>
        <w:t xml:space="preserve">які на наш погляд не відображають дійсні масштаби інших документів громадськості не надано. </w:t>
      </w:r>
    </w:p>
    <w:p w:rsidR="00000000" w:rsidDel="00000000" w:rsidP="00000000" w:rsidRDefault="00000000" w:rsidRPr="00000000" w14:paraId="0000004D">
      <w:pPr>
        <w:ind w:right="-327"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врегульована низка питань:</w:t>
      </w:r>
    </w:p>
    <w:p w:rsidR="00000000" w:rsidDel="00000000" w:rsidP="00000000" w:rsidRDefault="00000000" w:rsidRPr="00000000" w14:paraId="0000004E">
      <w:pPr>
        <w:numPr>
          <w:ilvl w:val="0"/>
          <w:numId w:val="4"/>
        </w:numPr>
        <w:ind w:left="0" w:right="-327"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відсутня текстова частина детального плану території, а наявні лише 2 креслення графічної частини.</w:t>
      </w:r>
    </w:p>
    <w:p w:rsidR="00000000" w:rsidDel="00000000" w:rsidP="00000000" w:rsidRDefault="00000000" w:rsidRPr="00000000" w14:paraId="0000004F">
      <w:pPr>
        <w:numPr>
          <w:ilvl w:val="0"/>
          <w:numId w:val="3"/>
        </w:numPr>
        <w:ind w:left="0" w:right="-327"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відсутні документи, якими затверджено розташування ВКАД на місцевості, а містобудівні умови від 2011 року видані протиправно (судова справа №640/26053/20);</w:t>
      </w:r>
      <w:r w:rsidDel="00000000" w:rsidR="00000000" w:rsidRPr="00000000">
        <w:rPr>
          <w:rtl w:val="0"/>
        </w:rPr>
      </w:r>
    </w:p>
    <w:p w:rsidR="00000000" w:rsidDel="00000000" w:rsidP="00000000" w:rsidRDefault="00000000" w:rsidRPr="00000000" w14:paraId="00000050">
      <w:pPr>
        <w:numPr>
          <w:ilvl w:val="0"/>
          <w:numId w:val="3"/>
        </w:numPr>
        <w:ind w:left="0" w:right="-327"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землі лісового фонду не передавались під ВКАД, та до цього часу експлуатуються лісгоспами без будь-яких обмежень чи умов ;</w:t>
      </w:r>
      <w:r w:rsidDel="00000000" w:rsidR="00000000" w:rsidRPr="00000000">
        <w:rPr>
          <w:rtl w:val="0"/>
        </w:rPr>
      </w:r>
    </w:p>
    <w:p w:rsidR="00000000" w:rsidDel="00000000" w:rsidP="00000000" w:rsidRDefault="00000000" w:rsidRPr="00000000" w14:paraId="00000051">
      <w:pPr>
        <w:numPr>
          <w:ilvl w:val="0"/>
          <w:numId w:val="3"/>
        </w:numPr>
        <w:ind w:left="0" w:right="-327"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не існує затвердженого проекту автодороги, який розробляється з 2008 року,;</w:t>
      </w:r>
      <w:r w:rsidDel="00000000" w:rsidR="00000000" w:rsidRPr="00000000">
        <w:rPr>
          <w:rtl w:val="0"/>
        </w:rPr>
      </w:r>
    </w:p>
    <w:p w:rsidR="00000000" w:rsidDel="00000000" w:rsidP="00000000" w:rsidRDefault="00000000" w:rsidRPr="00000000" w14:paraId="00000052">
      <w:pPr>
        <w:numPr>
          <w:ilvl w:val="0"/>
          <w:numId w:val="3"/>
        </w:numPr>
        <w:ind w:left="0" w:right="-327"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не існує стратегічної екологічної оцінки детального плану території будівництва ВКАД, </w:t>
      </w:r>
      <w:r w:rsidDel="00000000" w:rsidR="00000000" w:rsidRPr="00000000">
        <w:rPr>
          <w:rtl w:val="0"/>
        </w:rPr>
      </w:r>
    </w:p>
    <w:p w:rsidR="00000000" w:rsidDel="00000000" w:rsidP="00000000" w:rsidRDefault="00000000" w:rsidRPr="00000000" w14:paraId="00000053">
      <w:pPr>
        <w:numPr>
          <w:ilvl w:val="0"/>
          <w:numId w:val="3"/>
        </w:numPr>
        <w:ind w:left="0" w:right="-327"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не існує погодження громад Макарівського району щодо місця проходження ВКАД.</w:t>
      </w:r>
      <w:r w:rsidDel="00000000" w:rsidR="00000000" w:rsidRPr="00000000">
        <w:rPr>
          <w:rtl w:val="0"/>
        </w:rPr>
      </w:r>
    </w:p>
    <w:p w:rsidR="00000000" w:rsidDel="00000000" w:rsidP="00000000" w:rsidRDefault="00000000" w:rsidRPr="00000000" w14:paraId="00000054">
      <w:pPr>
        <w:ind w:left="360" w:right="-3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на вказаних схемах відсутні житлові будинки с.Миколаївка</w:t>
      </w:r>
    </w:p>
    <w:p w:rsidR="00000000" w:rsidDel="00000000" w:rsidP="00000000" w:rsidRDefault="00000000" w:rsidRPr="00000000" w14:paraId="00000055">
      <w:pPr>
        <w:ind w:right="-327"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Статтею 25 Закону України «Про архітектурну діяльність» визначені права громадян та громадських організацій, які не беруть безпосередньої участі у створенні об'єктів архітектури, а саме:</w:t>
      </w:r>
    </w:p>
    <w:p w:rsidR="00000000" w:rsidDel="00000000" w:rsidP="00000000" w:rsidRDefault="00000000" w:rsidRPr="00000000" w14:paraId="00000056">
      <w:pPr>
        <w:numPr>
          <w:ilvl w:val="0"/>
          <w:numId w:val="2"/>
        </w:numPr>
        <w:ind w:left="0" w:right="-327"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одержувати в органах влади інформацію щодо підготовки і прийняття рішень з планування, забудови та реконструкції населених пунктів, окремих територій і конкретних об'єктів архітектури, додержання при цьому вимог законодавства про збереження пам'яток історії та культури, довкілля;</w:t>
      </w:r>
    </w:p>
    <w:p w:rsidR="00000000" w:rsidDel="00000000" w:rsidP="00000000" w:rsidRDefault="00000000" w:rsidRPr="00000000" w14:paraId="00000057">
      <w:pPr>
        <w:numPr>
          <w:ilvl w:val="0"/>
          <w:numId w:val="2"/>
        </w:numPr>
        <w:ind w:left="0" w:right="-327"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брати участь в обговоренні архітектурних рішень проектів у встановленому порядку;</w:t>
      </w:r>
    </w:p>
    <w:p w:rsidR="00000000" w:rsidDel="00000000" w:rsidP="00000000" w:rsidRDefault="00000000" w:rsidRPr="00000000" w14:paraId="00000058">
      <w:pPr>
        <w:numPr>
          <w:ilvl w:val="0"/>
          <w:numId w:val="2"/>
        </w:numPr>
        <w:ind w:left="0" w:right="-327"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захищати свої інтереси під час проектування і будівництва нових та експлуатації існуючих об'єктів архітектури відповідно до законодавства.</w:t>
      </w:r>
    </w:p>
    <w:p w:rsidR="00000000" w:rsidDel="00000000" w:rsidP="00000000" w:rsidRDefault="00000000" w:rsidRPr="00000000" w14:paraId="00000059">
      <w:pPr>
        <w:shd w:fill="ffffff" w:val="clear"/>
        <w:ind w:right="-327" w:firstLine="709"/>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A">
      <w:pPr>
        <w:shd w:fill="ffffff" w:val="clear"/>
        <w:ind w:right="-327" w:firstLine="709"/>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Враховуючи вищевикладене, маємо наступні заперечення та пропозиції:</w:t>
      </w:r>
    </w:p>
    <w:p w:rsidR="00000000" w:rsidDel="00000000" w:rsidP="00000000" w:rsidRDefault="00000000" w:rsidRPr="00000000" w14:paraId="0000005B">
      <w:pPr>
        <w:ind w:right="-327" w:firstLine="709"/>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C">
      <w:pPr>
        <w:ind w:right="-327"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ЗАПЕРЕЧЕННЯ</w:t>
      </w:r>
      <w:r w:rsidDel="00000000" w:rsidR="00000000" w:rsidRPr="00000000">
        <w:rPr>
          <w:rFonts w:ascii="Times New Roman" w:cs="Times New Roman" w:eastAsia="Times New Roman" w:hAnsi="Times New Roman"/>
          <w:sz w:val="24"/>
          <w:szCs w:val="24"/>
          <w:highlight w:val="white"/>
          <w:rtl w:val="0"/>
        </w:rPr>
        <w:t xml:space="preserve"> проти містобудівної документації «Детальний план території щодо будівництва Великої кільцевої автомобільної дороги навколо м. Києва (ВКАД) від автомобільної дороги Київ – Ковель – Ягодин (М-07) до автомобільної дороги Київ – Чоп (М-06) (орієнтовною площею 285 га) на території Бучанського району Київської області»:</w:t>
      </w:r>
    </w:p>
    <w:p w:rsidR="00000000" w:rsidDel="00000000" w:rsidP="00000000" w:rsidRDefault="00000000" w:rsidRPr="00000000" w14:paraId="0000005D">
      <w:pPr>
        <w:ind w:right="-327" w:firstLine="709"/>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ind w:right="-327" w:firstLine="709"/>
        <w:jc w:val="both"/>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І. Відсутність звіту про стратегічну екологічну оцінку</w:t>
      </w:r>
    </w:p>
    <w:p w:rsidR="00000000" w:rsidDel="00000000" w:rsidP="00000000" w:rsidRDefault="00000000" w:rsidRPr="00000000" w14:paraId="0000005F">
      <w:pPr>
        <w:spacing w:after="200" w:lineRule="auto"/>
        <w:ind w:right="-327" w:firstLine="709"/>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0">
      <w:pPr>
        <w:spacing w:after="200" w:lineRule="auto"/>
        <w:ind w:right="-327"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Ст.  10 Закону України "Про стратегічну екологічну оцінку" визначений обов'язок замовника провести стратегічну екологічну оцінку містобудівної документації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 пп.3.п.1. ст.1 цього закону)   до його подання для затвердження. </w:t>
      </w:r>
    </w:p>
    <w:p w:rsidR="00000000" w:rsidDel="00000000" w:rsidP="00000000" w:rsidRDefault="00000000" w:rsidRPr="00000000" w14:paraId="00000061">
      <w:pPr>
        <w:spacing w:after="200" w:lineRule="auto"/>
        <w:ind w:right="-330" w:firstLine="70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Відповідно до ст. 11 Закону України "Про стратегічну екологічну оцінку"  складання звіту про стратегічну екологічну оцінку можливе лише у разі проведення громадського обговорення з питання стратегічної екологічної оцінки щодо наслідків для довкілля, у тому числі для здоров’я населення, - будь-які ймовірні наслідки для флори, фауни, біорізноманіття, ґрунту, надр, клімату, повітря, води, ландшафту, природних територій та об’єктів, безпеки життєдіяльності населення та його здоров’я, матеріальних активів, об’єктів культурної спадщини та взаємодії цих факторів.</w:t>
      </w:r>
    </w:p>
    <w:p w:rsidR="00000000" w:rsidDel="00000000" w:rsidP="00000000" w:rsidRDefault="00000000" w:rsidRPr="00000000" w14:paraId="00000062">
      <w:pPr>
        <w:shd w:fill="ffffff" w:val="clear"/>
        <w:spacing w:after="160" w:lineRule="auto"/>
        <w:ind w:right="-330" w:firstLine="70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І найважливіше, звіт про стратегічну екологічну оцінку складається до затвердження містобудівної документації</w:t>
      </w:r>
      <w:r w:rsidDel="00000000" w:rsidR="00000000" w:rsidRPr="00000000">
        <w:rPr>
          <w:rFonts w:ascii="Times New Roman" w:cs="Times New Roman" w:eastAsia="Times New Roman" w:hAnsi="Times New Roman"/>
          <w:sz w:val="24"/>
          <w:szCs w:val="24"/>
          <w:highlight w:val="white"/>
          <w:rtl w:val="0"/>
        </w:rPr>
        <w:t xml:space="preserve"> (п. 2 ст. 11 Закону України "Про стратегічну екологічну оцінку" ). </w:t>
      </w:r>
    </w:p>
    <w:p w:rsidR="00000000" w:rsidDel="00000000" w:rsidP="00000000" w:rsidRDefault="00000000" w:rsidRPr="00000000" w14:paraId="00000063">
      <w:pPr>
        <w:ind w:right="-330" w:firstLine="705"/>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4">
      <w:pPr>
        <w:ind w:right="-330" w:firstLine="705"/>
        <w:jc w:val="both"/>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ІІ. Важливість збереження земельної ділянки як зеленої території, на якій розміщені ліси.</w:t>
      </w:r>
    </w:p>
    <w:p w:rsidR="00000000" w:rsidDel="00000000" w:rsidP="00000000" w:rsidRDefault="00000000" w:rsidRPr="00000000" w14:paraId="00000065">
      <w:pPr>
        <w:ind w:right="-330" w:firstLine="705"/>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6">
      <w:pPr>
        <w:ind w:right="-330" w:firstLine="70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Частина Великої кільцевої автомобільної дороги навколо м. Києва (ВКАД) від автомобільної дороги Київ – Ковель – Ягодин (М-07) до автомобільної дороги Київ – Чоп (М-06) (орієнтовною площею 285 га) на території Бучанського району Київської області» пролягає через </w:t>
      </w:r>
      <w:r w:rsidDel="00000000" w:rsidR="00000000" w:rsidRPr="00000000">
        <w:rPr>
          <w:rFonts w:ascii="Times New Roman" w:cs="Times New Roman" w:eastAsia="Times New Roman" w:hAnsi="Times New Roman"/>
          <w:b w:val="1"/>
          <w:sz w:val="24"/>
          <w:szCs w:val="24"/>
          <w:highlight w:val="white"/>
          <w:rtl w:val="0"/>
        </w:rPr>
        <w:t xml:space="preserve">лісові масиви Макарівської та Дмитрівської ОТГ</w:t>
      </w:r>
      <w:r w:rsidDel="00000000" w:rsidR="00000000" w:rsidRPr="00000000">
        <w:rPr>
          <w:rFonts w:ascii="Times New Roman" w:cs="Times New Roman" w:eastAsia="Times New Roman" w:hAnsi="Times New Roman"/>
          <w:sz w:val="24"/>
          <w:szCs w:val="24"/>
          <w:highlight w:val="white"/>
          <w:rtl w:val="0"/>
        </w:rPr>
        <w:t xml:space="preserve">, що знаходиться поблизу Садових Товариств-______________ c. Миколаївка, та приватних будинків по вулиці _____________в с.Миколаївка .</w:t>
      </w:r>
    </w:p>
    <w:p w:rsidR="00000000" w:rsidDel="00000000" w:rsidP="00000000" w:rsidRDefault="00000000" w:rsidRPr="00000000" w14:paraId="00000067">
      <w:pPr>
        <w:ind w:right="-330" w:firstLine="70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Відповідно до ст. 1 Лісового кодексу України ліси України є її національним багатством і за своїм призначенням та місцерозташуванням виконують переважно водоохоронні, захисні, санітарно-гігієнічні, оздоровчі, рекреаційні, естетичні, виховні, інші функції та є джерелом для задоволення потреб суспільства в лісових ресурсах.</w:t>
      </w:r>
    </w:p>
    <w:p w:rsidR="00000000" w:rsidDel="00000000" w:rsidP="00000000" w:rsidRDefault="00000000" w:rsidRPr="00000000" w14:paraId="00000068">
      <w:pPr>
        <w:ind w:right="-330" w:firstLine="70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Усі ліси на території України, незалежно від того, на землях яких категорій за основним цільовим призначенням вони зростають, та незалежно від права власності на них, становлять лісовий фонд України і перебувають під охороною держави.</w:t>
      </w:r>
    </w:p>
    <w:p w:rsidR="00000000" w:rsidDel="00000000" w:rsidP="00000000" w:rsidRDefault="00000000" w:rsidRPr="00000000" w14:paraId="00000069">
      <w:pPr>
        <w:shd w:fill="ffffff" w:val="clear"/>
        <w:ind w:right="-330" w:firstLine="70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Ліси України за екологічним і соціально-економічним значенням та залежно від основних виконуваних ними функцій поділяються на такі категорії:</w:t>
      </w:r>
    </w:p>
    <w:p w:rsidR="00000000" w:rsidDel="00000000" w:rsidP="00000000" w:rsidRDefault="00000000" w:rsidRPr="00000000" w14:paraId="0000006A">
      <w:pPr>
        <w:shd w:fill="ffffff" w:val="clear"/>
        <w:ind w:right="-330" w:firstLine="70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захисні ліси (виконують переважно водоохоронні, ґрунтозахисні та інші захисні функції);</w:t>
      </w:r>
    </w:p>
    <w:p w:rsidR="00000000" w:rsidDel="00000000" w:rsidP="00000000" w:rsidRDefault="00000000" w:rsidRPr="00000000" w14:paraId="0000006B">
      <w:pPr>
        <w:shd w:fill="ffffff" w:val="clear"/>
        <w:ind w:right="-330" w:firstLine="70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рекреаційно-оздоровчі ліси (виконують переважно рекреаційні, санітарні, гігієнічні та оздоровчі функції);</w:t>
      </w:r>
    </w:p>
    <w:p w:rsidR="00000000" w:rsidDel="00000000" w:rsidP="00000000" w:rsidRDefault="00000000" w:rsidRPr="00000000" w14:paraId="0000006C">
      <w:pPr>
        <w:shd w:fill="ffffff" w:val="clear"/>
        <w:ind w:right="-330" w:firstLine="70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ліси природоохоронного, наукового, історико-культурного призначення (виконують особливі природоохоронні, естетичні, наукові функції тощо);</w:t>
      </w:r>
    </w:p>
    <w:p w:rsidR="00000000" w:rsidDel="00000000" w:rsidP="00000000" w:rsidRDefault="00000000" w:rsidRPr="00000000" w14:paraId="0000006D">
      <w:pPr>
        <w:shd w:fill="ffffff" w:val="clear"/>
        <w:ind w:right="-330" w:firstLine="70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експлуатаційні ліси.</w:t>
      </w:r>
    </w:p>
    <w:p w:rsidR="00000000" w:rsidDel="00000000" w:rsidP="00000000" w:rsidRDefault="00000000" w:rsidRPr="00000000" w14:paraId="0000006E">
      <w:pPr>
        <w:ind w:right="-330" w:firstLine="705"/>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F">
      <w:pPr>
        <w:ind w:right="-330" w:firstLine="70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Праліси, квазіпраліси та природні ліси є національною природною спадщиною України.</w:t>
      </w:r>
    </w:p>
    <w:p w:rsidR="00000000" w:rsidDel="00000000" w:rsidP="00000000" w:rsidRDefault="00000000" w:rsidRPr="00000000" w14:paraId="00000070">
      <w:pPr>
        <w:ind w:right="-330" w:firstLine="70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Стаття 39</w:t>
      </w:r>
      <w:r w:rsidDel="00000000" w:rsidR="00000000" w:rsidRPr="00000000">
        <w:rPr>
          <w:rFonts w:ascii="Times New Roman" w:cs="Times New Roman" w:eastAsia="Times New Roman" w:hAnsi="Times New Roman"/>
          <w:sz w:val="24"/>
          <w:szCs w:val="24"/>
          <w:highlight w:val="white"/>
          <w:vertAlign w:val="superscript"/>
          <w:rtl w:val="0"/>
        </w:rPr>
        <w:t xml:space="preserve">1 </w:t>
      </w:r>
      <w:r w:rsidDel="00000000" w:rsidR="00000000" w:rsidRPr="00000000">
        <w:rPr>
          <w:rFonts w:ascii="Times New Roman" w:cs="Times New Roman" w:eastAsia="Times New Roman" w:hAnsi="Times New Roman"/>
          <w:sz w:val="24"/>
          <w:szCs w:val="24"/>
          <w:highlight w:val="white"/>
          <w:rtl w:val="0"/>
        </w:rPr>
        <w:t xml:space="preserve">Лісового кодексу України встановлює вимоги по охороні та збереженню лісів. Так у лісах забороняються всі види рубок, у тому числі санітарні, рубки формування і оздоровлення лісів (крім догляду за лінійними об'єктами та вирубування окремих дерев під час гасіння пожежі), </w:t>
      </w:r>
      <w:r w:rsidDel="00000000" w:rsidR="00000000" w:rsidRPr="00000000">
        <w:rPr>
          <w:rFonts w:ascii="Times New Roman" w:cs="Times New Roman" w:eastAsia="Times New Roman" w:hAnsi="Times New Roman"/>
          <w:b w:val="1"/>
          <w:sz w:val="24"/>
          <w:szCs w:val="24"/>
          <w:highlight w:val="white"/>
          <w:u w:val="single"/>
          <w:rtl w:val="0"/>
        </w:rPr>
        <w:t xml:space="preserve">будівництво споруд, прокладання шляхів, лінійних та інших об'єктів транспорту і зв'язку</w:t>
      </w:r>
      <w:r w:rsidDel="00000000" w:rsidR="00000000" w:rsidRPr="00000000">
        <w:rPr>
          <w:rFonts w:ascii="Times New Roman" w:cs="Times New Roman" w:eastAsia="Times New Roman" w:hAnsi="Times New Roman"/>
          <w:sz w:val="24"/>
          <w:szCs w:val="24"/>
          <w:highlight w:val="white"/>
          <w:rtl w:val="0"/>
        </w:rPr>
        <w:t xml:space="preserve">, випасання худоби, промислова заготівля недеревинних лісових продуктів, проїзд транспортних засобів (крім доріг загального користування та служби лісової охорони).</w:t>
      </w:r>
    </w:p>
    <w:p w:rsidR="00000000" w:rsidDel="00000000" w:rsidP="00000000" w:rsidRDefault="00000000" w:rsidRPr="00000000" w14:paraId="00000071">
      <w:pPr>
        <w:ind w:right="-330" w:firstLine="70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Усі виділені праліси, квазіпраліси та природні ліси зараховуються до категорії лісів природоохоронного, наукового, історико-культурного призначення, а також виділяються в особливі охоронні лісові ділянки.</w:t>
      </w:r>
    </w:p>
    <w:p w:rsidR="00000000" w:rsidDel="00000000" w:rsidP="00000000" w:rsidRDefault="00000000" w:rsidRPr="00000000" w14:paraId="00000072">
      <w:pPr>
        <w:ind w:right="-330" w:firstLine="70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Навколо виділених пралісів, квазіпралісів, природних лісів установлюються охоронні зони завширшки не менше подвійної висоти деревостану пралісу, в яких забороняються суцільні та поступові рубки.</w:t>
      </w:r>
    </w:p>
    <w:p w:rsidR="00000000" w:rsidDel="00000000" w:rsidP="00000000" w:rsidRDefault="00000000" w:rsidRPr="00000000" w14:paraId="00000073">
      <w:pPr>
        <w:ind w:right="-330" w:firstLine="70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Наявність пралісів, квазіпралісів чи природних лісів є підставою для оголошення відповідних територій і об'єктів природно-заповідного фонду України пралісовими пам'ятками природи.</w:t>
      </w:r>
    </w:p>
    <w:p w:rsidR="00000000" w:rsidDel="00000000" w:rsidP="00000000" w:rsidRDefault="00000000" w:rsidRPr="00000000" w14:paraId="00000074">
      <w:pPr>
        <w:ind w:right="-330" w:firstLine="705"/>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75">
      <w:pPr>
        <w:ind w:right="-330" w:firstLine="705"/>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6">
      <w:pPr>
        <w:shd w:fill="ffffff" w:val="clear"/>
        <w:spacing w:after="160" w:lineRule="auto"/>
        <w:ind w:right="-330" w:firstLine="705"/>
        <w:jc w:val="both"/>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ІІІ. Невідповідність запропонованого до розгляду детального плану діючому законодавству України.</w:t>
      </w:r>
    </w:p>
    <w:p w:rsidR="00000000" w:rsidDel="00000000" w:rsidP="00000000" w:rsidRDefault="00000000" w:rsidRPr="00000000" w14:paraId="00000077">
      <w:pPr>
        <w:shd w:fill="ffffff" w:val="clear"/>
        <w:spacing w:after="160" w:lineRule="auto"/>
        <w:ind w:right="-330" w:firstLine="70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Відповідно до статті 19 Закону України “Про містобудівну діяльність” </w:t>
      </w:r>
      <w:r w:rsidDel="00000000" w:rsidR="00000000" w:rsidRPr="00000000">
        <w:rPr>
          <w:rFonts w:ascii="Times New Roman" w:cs="Times New Roman" w:eastAsia="Times New Roman" w:hAnsi="Times New Roman"/>
          <w:sz w:val="24"/>
          <w:szCs w:val="24"/>
          <w:highlight w:val="white"/>
          <w:rtl w:val="0"/>
        </w:rPr>
        <w:t xml:space="preserve">детальний план у межах населеного пункту </w:t>
      </w:r>
      <w:r w:rsidDel="00000000" w:rsidR="00000000" w:rsidRPr="00000000">
        <w:rPr>
          <w:rFonts w:ascii="Times New Roman" w:cs="Times New Roman" w:eastAsia="Times New Roman" w:hAnsi="Times New Roman"/>
          <w:b w:val="1"/>
          <w:sz w:val="24"/>
          <w:szCs w:val="24"/>
          <w:highlight w:val="white"/>
          <w:rtl w:val="0"/>
        </w:rPr>
        <w:t xml:space="preserve">уточнює положення генерального плану</w:t>
      </w:r>
      <w:r w:rsidDel="00000000" w:rsidR="00000000" w:rsidRPr="00000000">
        <w:rPr>
          <w:rFonts w:ascii="Times New Roman" w:cs="Times New Roman" w:eastAsia="Times New Roman" w:hAnsi="Times New Roman"/>
          <w:sz w:val="24"/>
          <w:szCs w:val="24"/>
          <w:highlight w:val="white"/>
          <w:rtl w:val="0"/>
        </w:rPr>
        <w:t xml:space="preserve"> населеного пункту та визначає планувальну організацію і розвиток частини території.</w:t>
      </w:r>
    </w:p>
    <w:p w:rsidR="00000000" w:rsidDel="00000000" w:rsidP="00000000" w:rsidRDefault="00000000" w:rsidRPr="00000000" w14:paraId="00000078">
      <w:pPr>
        <w:shd w:fill="ffffff" w:val="clear"/>
        <w:spacing w:after="160" w:lineRule="auto"/>
        <w:ind w:firstLine="4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Детальний план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rsidR="00000000" w:rsidDel="00000000" w:rsidP="00000000" w:rsidRDefault="00000000" w:rsidRPr="00000000" w14:paraId="00000079">
      <w:pPr>
        <w:shd w:fill="ffffff" w:val="clear"/>
        <w:spacing w:after="160" w:lineRule="auto"/>
        <w:ind w:firstLine="4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Генеральний план </w:t>
      </w:r>
      <w:r w:rsidDel="00000000" w:rsidR="00000000" w:rsidRPr="00000000">
        <w:rPr>
          <w:rFonts w:ascii="Times New Roman" w:cs="Times New Roman" w:eastAsia="Times New Roman" w:hAnsi="Times New Roman"/>
          <w:sz w:val="24"/>
          <w:szCs w:val="24"/>
          <w:rtl w:val="0"/>
        </w:rPr>
        <w:t xml:space="preserve">села </w:t>
      </w:r>
      <w:r w:rsidDel="00000000" w:rsidR="00000000" w:rsidRPr="00000000">
        <w:rPr>
          <w:rFonts w:ascii="Times New Roman" w:cs="Times New Roman" w:eastAsia="Times New Roman" w:hAnsi="Times New Roman"/>
          <w:sz w:val="24"/>
          <w:szCs w:val="24"/>
          <w:highlight w:val="white"/>
          <w:rtl w:val="0"/>
        </w:rPr>
        <w:t xml:space="preserve"> відсутній</w:t>
      </w:r>
      <w:r w:rsidDel="00000000" w:rsidR="00000000" w:rsidRPr="00000000">
        <w:rPr>
          <w:rFonts w:ascii="Times New Roman" w:cs="Times New Roman" w:eastAsia="Times New Roman" w:hAnsi="Times New Roman"/>
          <w:sz w:val="24"/>
          <w:szCs w:val="24"/>
          <w:highlight w:val="white"/>
          <w:rtl w:val="0"/>
        </w:rPr>
        <w:t xml:space="preserve">.  Іншими словами відсутній основний документ, який відповідно до статті 17 Закону України “Про містобудівну діяльність” є основним видом містобудівної документації на місцевому рівні, призначеної для </w:t>
      </w:r>
      <w:r w:rsidDel="00000000" w:rsidR="00000000" w:rsidRPr="00000000">
        <w:rPr>
          <w:rFonts w:ascii="Times New Roman" w:cs="Times New Roman" w:eastAsia="Times New Roman" w:hAnsi="Times New Roman"/>
          <w:b w:val="1"/>
          <w:sz w:val="24"/>
          <w:szCs w:val="24"/>
          <w:highlight w:val="white"/>
          <w:rtl w:val="0"/>
        </w:rPr>
        <w:t xml:space="preserve">обґрунтування довгострокової стратегії планування та забудови території населеного пункту.</w:t>
      </w:r>
    </w:p>
    <w:p w:rsidR="00000000" w:rsidDel="00000000" w:rsidP="00000000" w:rsidRDefault="00000000" w:rsidRPr="00000000" w14:paraId="0000007A">
      <w:pPr>
        <w:shd w:fill="ffffff" w:val="clear"/>
        <w:spacing w:after="160" w:lineRule="auto"/>
        <w:ind w:firstLine="4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Детальний план території за межами населених пунктів розробляється відповідно до схеми планування території (частини території) району та/або області з урахуванням обмежень використання приаеродромної території, встановлених відповідно до Повітряного кодексу України, та державних і регіональних інтересів.</w:t>
      </w:r>
    </w:p>
    <w:p w:rsidR="00000000" w:rsidDel="00000000" w:rsidP="00000000" w:rsidRDefault="00000000" w:rsidRPr="00000000" w14:paraId="0000007B">
      <w:pPr>
        <w:shd w:fill="ffffff" w:val="clear"/>
        <w:spacing w:after="160" w:lineRule="auto"/>
        <w:ind w:firstLine="4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 розгляд громадськості Замовником надано лише графічну частину детального плану, а пояснюв</w:t>
      </w:r>
    </w:p>
    <w:p w:rsidR="00000000" w:rsidDel="00000000" w:rsidP="00000000" w:rsidRDefault="00000000" w:rsidRPr="00000000" w14:paraId="0000007C">
      <w:pPr>
        <w:shd w:fill="ffffff" w:val="clear"/>
        <w:spacing w:after="160" w:lineRule="auto"/>
        <w:ind w:firstLine="4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Детальний план має бути розроблений альнана підставі  Державних</w:t>
        <w:tab/>
        <w:t xml:space="preserve"> будівельних норм</w:t>
        <w:tab/>
        <w:t xml:space="preserve"> України: ДБН  Б.2.2-12:2019</w:t>
        <w:tab/>
        <w:t xml:space="preserve"> “Планування</w:t>
        <w:tab/>
        <w:t xml:space="preserve"> та забудова</w:t>
        <w:tab/>
        <w:t xml:space="preserve"> територій”, ДБН Б.1.1-14:2012</w:t>
        <w:tab/>
        <w:t xml:space="preserve"> “Склад  та</w:t>
        <w:tab/>
        <w:t xml:space="preserve"> зміст</w:t>
        <w:tab/>
        <w:t xml:space="preserve"> детального</w:t>
        <w:tab/>
        <w:t xml:space="preserve"> плану</w:t>
        <w:tab/>
        <w:t xml:space="preserve"> території”,</w:t>
        <w:tab/>
        <w:t xml:space="preserve">а також інших нормативних</w:t>
        <w:tab/>
        <w:t xml:space="preserve">документів.</w:t>
      </w:r>
    </w:p>
    <w:p w:rsidR="00000000" w:rsidDel="00000000" w:rsidP="00000000" w:rsidRDefault="00000000" w:rsidRPr="00000000" w14:paraId="0000007D">
      <w:pPr>
        <w:shd w:fill="ffffff" w:val="clear"/>
        <w:spacing w:after="160" w:lineRule="auto"/>
        <w:ind w:firstLine="4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Вважаємо, що розроблення детального плану окремого об'єкта будівництва  (дороги) без затвердженого генерального плану суперечить діючому законодавству України.</w:t>
      </w:r>
    </w:p>
    <w:p w:rsidR="00000000" w:rsidDel="00000000" w:rsidP="00000000" w:rsidRDefault="00000000" w:rsidRPr="00000000" w14:paraId="0000007E">
      <w:pPr>
        <w:shd w:fill="ffffff" w:val="clear"/>
        <w:spacing w:after="160" w:lineRule="auto"/>
        <w:ind w:firstLine="4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Крім того, представлені для розгляду громадськості частини детального плану  “Проектний план.Схема Прогнозування планувальних обмежень”, “План існуючого використання. Опорний план, схема планування обмежень” не відповідають масштабу  передбаченому пунктом 5.3. ДБН Б.1.1-14:2012</w:t>
        <w:tab/>
        <w:t xml:space="preserve"> “Склад  та</w:t>
        <w:tab/>
        <w:t xml:space="preserve"> зміст</w:t>
        <w:tab/>
        <w:t xml:space="preserve"> детального плану</w:t>
        <w:tab/>
        <w:t xml:space="preserve"> території”.</w:t>
      </w:r>
    </w:p>
    <w:p w:rsidR="00000000" w:rsidDel="00000000" w:rsidP="00000000" w:rsidRDefault="00000000" w:rsidRPr="00000000" w14:paraId="0000007F">
      <w:pPr>
        <w:ind w:right="-33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0">
      <w:pPr>
        <w:ind w:right="-330" w:firstLine="705"/>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Враховуючи вищевикладене, </w:t>
      </w:r>
      <w:r w:rsidDel="00000000" w:rsidR="00000000" w:rsidRPr="00000000">
        <w:rPr>
          <w:rFonts w:ascii="Times New Roman" w:cs="Times New Roman" w:eastAsia="Times New Roman" w:hAnsi="Times New Roman"/>
          <w:b w:val="1"/>
          <w:sz w:val="24"/>
          <w:szCs w:val="24"/>
          <w:highlight w:val="white"/>
          <w:rtl w:val="0"/>
        </w:rPr>
        <w:t xml:space="preserve">запроектоване будівництво</w:t>
      </w:r>
      <w:r w:rsidDel="00000000" w:rsidR="00000000" w:rsidRPr="00000000">
        <w:rPr>
          <w:rFonts w:ascii="Times New Roman" w:cs="Times New Roman" w:eastAsia="Times New Roman" w:hAnsi="Times New Roman"/>
          <w:sz w:val="24"/>
          <w:szCs w:val="24"/>
          <w:highlight w:val="white"/>
          <w:rtl w:val="0"/>
        </w:rPr>
        <w:t xml:space="preserve"> відповідно до містобудівної документації «Детальний план території щодо будівництва Великої кільцевої автомобільної дороги навколо м. Києва (ВКАД) від автомобільної дороги Київ – Ковель – Ягодин (М-07) до автомобільної дороги Київ – Чоп (М-06) (орієнтовною площею 285 га) на території Бучанського району Київської області </w:t>
      </w:r>
      <w:r w:rsidDel="00000000" w:rsidR="00000000" w:rsidRPr="00000000">
        <w:rPr>
          <w:rFonts w:ascii="Times New Roman" w:cs="Times New Roman" w:eastAsia="Times New Roman" w:hAnsi="Times New Roman"/>
          <w:b w:val="1"/>
          <w:sz w:val="24"/>
          <w:szCs w:val="24"/>
          <w:highlight w:val="white"/>
          <w:rtl w:val="0"/>
        </w:rPr>
        <w:t xml:space="preserve">неможливо та суперечить діючому законодавству України.</w:t>
      </w:r>
    </w:p>
    <w:p w:rsidR="00000000" w:rsidDel="00000000" w:rsidP="00000000" w:rsidRDefault="00000000" w:rsidRPr="00000000" w14:paraId="00000081">
      <w:pPr>
        <w:ind w:right="-33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2">
      <w:pPr>
        <w:ind w:right="-330" w:firstLine="705"/>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3">
      <w:pPr>
        <w:ind w:right="-330" w:firstLine="705"/>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ПРОПОЗИЦІЇ:</w:t>
      </w:r>
    </w:p>
    <w:p w:rsidR="00000000" w:rsidDel="00000000" w:rsidP="00000000" w:rsidRDefault="00000000" w:rsidRPr="00000000" w14:paraId="00000084">
      <w:pPr>
        <w:numPr>
          <w:ilvl w:val="0"/>
          <w:numId w:val="1"/>
        </w:numPr>
        <w:ind w:left="720" w:right="-33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Скасувати та провести нові громадські слухання до отримання всіх необхідних погоджень, висновків, оцінки тощо.  </w:t>
      </w:r>
    </w:p>
    <w:p w:rsidR="00000000" w:rsidDel="00000000" w:rsidP="00000000" w:rsidRDefault="00000000" w:rsidRPr="00000000" w14:paraId="00000085">
      <w:pPr>
        <w:numPr>
          <w:ilvl w:val="0"/>
          <w:numId w:val="1"/>
        </w:numPr>
        <w:ind w:left="720" w:right="-33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Перенести фрагмент Великої кільцевої автомобільної дороги навколо м. Києва (ВКАД) від автомобільної дороги Київ – Ковель – Ягодин (М-07) до автомобільної дороги Київ – Чоп (М-06) (орієнтовною площею 285 га) на території Бучанського району Київської області що запроектована поблизу СТ,будинків ______ Макарівського району, с. Миколаївка,  по вже прокладених дорогах таких як  Е373 або P04</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