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Публикации Арсена Авакова: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200" w:before="200" w:lineRule="auto"/>
        <w:ind w:left="720" w:hanging="360"/>
        <w:rPr>
          <w:color w:val="202122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2"/>
          <w:sz w:val="25"/>
          <w:szCs w:val="25"/>
          <w:highlight w:val="white"/>
          <w:rtl w:val="0"/>
        </w:rPr>
        <w:t xml:space="preserve">Вексельное обращение: теория и практика</w:t>
      </w:r>
      <w:r w:rsidDel="00000000" w:rsidR="00000000" w:rsidRPr="00000000">
        <w:rPr>
          <w:color w:val="202122"/>
          <w:sz w:val="25"/>
          <w:szCs w:val="25"/>
          <w:highlight w:val="white"/>
          <w:rtl w:val="0"/>
        </w:rPr>
        <w:t xml:space="preserve"> / А. Б. Аваков, Г. И. Гаевой, В. А. Бешанов и др. — Х.: Фолио, 2000. — 382 с.;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color w:val="202122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2"/>
          <w:sz w:val="25"/>
          <w:szCs w:val="25"/>
          <w:highlight w:val="white"/>
          <w:rtl w:val="0"/>
        </w:rPr>
        <w:t xml:space="preserve">Главное: Сборник статей</w:t>
      </w:r>
      <w:r w:rsidDel="00000000" w:rsidR="00000000" w:rsidRPr="00000000">
        <w:rPr>
          <w:color w:val="202122"/>
          <w:sz w:val="25"/>
          <w:szCs w:val="25"/>
          <w:highlight w:val="white"/>
          <w:rtl w:val="0"/>
        </w:rPr>
        <w:t xml:space="preserve"> (апрель 2005 — октябрь 2006) / Арсен Аваков. — Харьков, 2006. — 48 с.: ил.;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2"/>
          <w:sz w:val="25"/>
          <w:szCs w:val="25"/>
          <w:highlight w:val="white"/>
          <w:rtl w:val="0"/>
        </w:rPr>
        <w:t xml:space="preserve">Акценты: Речи, статьи, выступления, интервью, публикации</w:t>
      </w:r>
      <w:r w:rsidDel="00000000" w:rsidR="00000000" w:rsidRPr="00000000">
        <w:rPr>
          <w:color w:val="202122"/>
          <w:sz w:val="25"/>
          <w:szCs w:val="25"/>
          <w:highlight w:val="white"/>
          <w:rtl w:val="0"/>
        </w:rPr>
        <w:t xml:space="preserve"> (ноябрь 2004 — декабрь 2006): сборник статей / Арсен Аваков. — Харьков: Золотые страницы, 2007. — 464 с.: ил.;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color w:val="202122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2"/>
          <w:sz w:val="25"/>
          <w:szCs w:val="25"/>
          <w:highlight w:val="white"/>
          <w:rtl w:val="0"/>
        </w:rPr>
        <w:t xml:space="preserve">Ленин с нами</w:t>
      </w:r>
      <w:r w:rsidDel="00000000" w:rsidR="00000000" w:rsidRPr="00000000">
        <w:rPr>
          <w:color w:val="202122"/>
          <w:sz w:val="25"/>
          <w:szCs w:val="25"/>
          <w:highlight w:val="white"/>
          <w:rtl w:val="0"/>
        </w:rPr>
        <w:t xml:space="preserve">: Статья + Интернет-эпистолярий / Арсен Аваков. — Харьков: Золотые страницы, 2008. — 100 с.: ил.;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00" w:before="0" w:lineRule="auto"/>
        <w:ind w:left="720" w:hanging="360"/>
        <w:rPr>
          <w:color w:val="202122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2"/>
          <w:sz w:val="25"/>
          <w:szCs w:val="25"/>
          <w:highlight w:val="white"/>
          <w:rtl w:val="0"/>
        </w:rPr>
        <w:t xml:space="preserve">Вчера и завтра</w:t>
      </w:r>
      <w:r w:rsidDel="00000000" w:rsidR="00000000" w:rsidRPr="00000000">
        <w:rPr>
          <w:color w:val="202122"/>
          <w:sz w:val="25"/>
          <w:szCs w:val="25"/>
          <w:highlight w:val="white"/>
          <w:rtl w:val="0"/>
        </w:rPr>
        <w:t xml:space="preserve"> / Арсен Аваков. — Харьков: Золотые страницы, 2008. — 48 с.;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00" w:before="200" w:lineRule="auto"/>
        <w:ind w:left="720" w:hanging="360"/>
        <w:rPr>
          <w:color w:val="202122"/>
          <w:sz w:val="25"/>
          <w:szCs w:val="25"/>
          <w:highlight w:val="white"/>
        </w:rPr>
      </w:pPr>
      <w:r w:rsidDel="00000000" w:rsidR="00000000" w:rsidRPr="00000000">
        <w:rPr>
          <w:i w:val="1"/>
          <w:color w:val="202122"/>
          <w:sz w:val="25"/>
          <w:szCs w:val="25"/>
          <w:highlight w:val="white"/>
          <w:rtl w:val="0"/>
        </w:rPr>
        <w:t xml:space="preserve">Стратегия социально-экономического развития Харьковской области на период до 2015 года</w:t>
      </w:r>
      <w:r w:rsidDel="00000000" w:rsidR="00000000" w:rsidRPr="00000000">
        <w:rPr>
          <w:color w:val="202122"/>
          <w:sz w:val="25"/>
          <w:szCs w:val="25"/>
          <w:highlight w:val="white"/>
          <w:rtl w:val="0"/>
        </w:rPr>
        <w:t xml:space="preserve">: Монография.- Х.: Издательский Дом «ИНЖЕК», 2008.- 352 с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