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485775" cy="685800"/>
            <wp:effectExtent b="0" l="0" r="0" t="0"/>
            <wp:docPr descr="https://lh5.googleusercontent.com/kxtzTgvkLD_uXWbMYEny-vmOq1P8yjc5GkoQV7drWgcksNURCx94xWTXM2IHQSDcSb0FAobbjHyp3BPIv_SR9rEegiVj3tqSbe5166T00gXvcwoqIROOeuJBNcdFnDq8KnH_TGw" id="1" name="image1.png"/>
            <a:graphic>
              <a:graphicData uri="http://schemas.openxmlformats.org/drawingml/2006/picture">
                <pic:pic>
                  <pic:nvPicPr>
                    <pic:cNvPr descr="https://lh5.googleusercontent.com/kxtzTgvkLD_uXWbMYEny-vmOq1P8yjc5GkoQV7drWgcksNURCx94xWTXM2IHQSDcSb0FAobbjHyp3BPIv_SR9rEegiVj3tqSbe5166T00gXvcwoqIROOeuJBNcdFnDq8KnH_TGw" id="0" name="image1.png"/>
                    <pic:cNvPicPr preferRelativeResize="0"/>
                  </pic:nvPicPr>
                  <pic:blipFill>
                    <a:blip r:embed="rId6"/>
                    <a:srcRect b="0" l="0" r="0" t="0"/>
                    <a:stretch>
                      <a:fillRect/>
                    </a:stretch>
                  </pic:blipFill>
                  <pic:spPr>
                    <a:xfrm>
                      <a:off x="0" y="0"/>
                      <a:ext cx="4857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48"/>
          <w:szCs w:val="48"/>
          <w:rtl w:val="0"/>
        </w:rPr>
        <w:t xml:space="preserve">ДЕПУТАТ</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КИЇВСЬКОЇ   МІСЬКОЇ РАДИ  IX  СКЛИКАННЯ</w:t>
      </w:r>
      <w:r w:rsidDel="00000000" w:rsidR="00000000" w:rsidRPr="00000000">
        <w:rPr>
          <w:rtl w:val="0"/>
        </w:rPr>
      </w:r>
    </w:p>
    <w:p w:rsidR="00000000" w:rsidDel="00000000" w:rsidP="00000000" w:rsidRDefault="00000000" w:rsidRPr="00000000" w14:paraId="00000004">
      <w:pPr>
        <w:pBdr>
          <w:bottom w:color="000000" w:space="1" w:sz="12" w:val="singl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16"/>
          <w:szCs w:val="16"/>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sz w:val="24"/>
          <w:szCs w:val="24"/>
          <w:u w:val="single"/>
          <w:rtl w:val="0"/>
        </w:rPr>
        <w:t xml:space="preserve"> 25 </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sz w:val="24"/>
          <w:szCs w:val="24"/>
          <w:u w:val="single"/>
          <w:rtl w:val="0"/>
        </w:rPr>
        <w:t xml:space="preserve">    лютого    </w:t>
      </w:r>
      <w:r w:rsidDel="00000000" w:rsidR="00000000" w:rsidRPr="00000000">
        <w:rPr>
          <w:rFonts w:ascii="Times New Roman" w:cs="Times New Roman" w:eastAsia="Times New Roman" w:hAnsi="Times New Roman"/>
          <w:color w:val="000000"/>
          <w:sz w:val="24"/>
          <w:szCs w:val="24"/>
          <w:u w:val="single"/>
          <w:rtl w:val="0"/>
        </w:rPr>
        <w:t xml:space="preserve">2021 року</w:t>
      </w:r>
      <w:r w:rsidDel="00000000" w:rsidR="00000000" w:rsidRPr="00000000">
        <w:rPr>
          <w:rFonts w:ascii="Times New Roman" w:cs="Times New Roman" w:eastAsia="Times New Roman" w:hAnsi="Times New Roman"/>
          <w:color w:val="000000"/>
          <w:sz w:val="24"/>
          <w:szCs w:val="24"/>
          <w:rtl w:val="0"/>
        </w:rPr>
        <w:tab/>
        <w:tab/>
        <w:t xml:space="preserve">       </w:t>
        <w:tab/>
        <w:tab/>
        <w:t xml:space="preserve">                                       № </w:t>
      </w:r>
      <w:r w:rsidDel="00000000" w:rsidR="00000000" w:rsidRPr="00000000">
        <w:rPr>
          <w:rFonts w:ascii="Times New Roman" w:cs="Times New Roman" w:eastAsia="Times New Roman" w:hAnsi="Times New Roman"/>
          <w:sz w:val="24"/>
          <w:szCs w:val="24"/>
          <w:u w:val="single"/>
          <w:rtl w:val="0"/>
        </w:rPr>
        <w:t xml:space="preserve">08/279/09/247-172</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ind w:left="4111" w:firstLine="0"/>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9">
      <w:pPr>
        <w:shd w:fill="ffffff" w:val="clear"/>
        <w:spacing w:after="0" w:line="240" w:lineRule="auto"/>
        <w:ind w:left="4111" w:firstLine="0"/>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A">
      <w:pPr>
        <w:shd w:fill="ffffff" w:val="clear"/>
        <w:spacing w:after="0" w:line="240" w:lineRule="auto"/>
        <w:ind w:left="4111" w:firstLine="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Директору Департаменту земельних ресурсів</w:t>
      </w:r>
    </w:p>
    <w:p w:rsidR="00000000" w:rsidDel="00000000" w:rsidP="00000000" w:rsidRDefault="00000000" w:rsidRPr="00000000" w14:paraId="0000000B">
      <w:pPr>
        <w:shd w:fill="ffffff" w:val="clear"/>
        <w:spacing w:after="0" w:line="240" w:lineRule="auto"/>
        <w:ind w:left="4111" w:firstLine="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Оленичу П. С.</w:t>
      </w:r>
    </w:p>
    <w:p w:rsidR="00000000" w:rsidDel="00000000" w:rsidP="00000000" w:rsidRDefault="00000000" w:rsidRPr="00000000" w14:paraId="0000000C">
      <w:pPr>
        <w:shd w:fill="ffffff" w:val="clear"/>
        <w:spacing w:after="0" w:line="240" w:lineRule="auto"/>
        <w:ind w:left="4111" w:firstLine="0"/>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01601, м. Київ, вул. Хрещатик, 32-а</w:t>
      </w:r>
    </w:p>
    <w:p w:rsidR="00000000" w:rsidDel="00000000" w:rsidP="00000000" w:rsidRDefault="00000000" w:rsidRPr="00000000" w14:paraId="0000000D">
      <w:pPr>
        <w:shd w:fill="ffffff" w:val="clear"/>
        <w:spacing w:after="0" w:line="240" w:lineRule="auto"/>
        <w:ind w:left="4111" w:firstLine="0"/>
        <w:rPr>
          <w:rFonts w:ascii="Times New Roman" w:cs="Times New Roman" w:eastAsia="Times New Roman" w:hAnsi="Times New Roman"/>
          <w:i w:val="1"/>
          <w:color w:val="000000"/>
          <w:sz w:val="26"/>
          <w:szCs w:val="26"/>
        </w:rPr>
      </w:pPr>
      <w:r w:rsidDel="00000000" w:rsidR="00000000" w:rsidRPr="00000000">
        <w:rPr>
          <w:rtl w:val="0"/>
        </w:rPr>
      </w:r>
    </w:p>
    <w:p w:rsidR="00000000" w:rsidDel="00000000" w:rsidP="00000000" w:rsidRDefault="00000000" w:rsidRPr="00000000" w14:paraId="0000000E">
      <w:pPr>
        <w:shd w:fill="ffffff" w:val="clear"/>
        <w:spacing w:after="0" w:line="240" w:lineRule="auto"/>
        <w:ind w:left="4111" w:firstLine="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Директору Департаменту містобудування та архітектури</w:t>
      </w:r>
    </w:p>
    <w:p w:rsidR="00000000" w:rsidDel="00000000" w:rsidP="00000000" w:rsidRDefault="00000000" w:rsidRPr="00000000" w14:paraId="0000000F">
      <w:pPr>
        <w:shd w:fill="ffffff" w:val="clear"/>
        <w:spacing w:after="0" w:line="240" w:lineRule="auto"/>
        <w:ind w:left="4111" w:firstLine="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Свистунову О. В.</w:t>
      </w:r>
    </w:p>
    <w:p w:rsidR="00000000" w:rsidDel="00000000" w:rsidP="00000000" w:rsidRDefault="00000000" w:rsidRPr="00000000" w14:paraId="00000010">
      <w:pPr>
        <w:shd w:fill="ffffff" w:val="clear"/>
        <w:spacing w:after="0" w:line="240" w:lineRule="auto"/>
        <w:ind w:left="4111" w:firstLine="0"/>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01001, м. Київ, вул. Хрещатик, 32</w:t>
      </w:r>
    </w:p>
    <w:p w:rsidR="00000000" w:rsidDel="00000000" w:rsidP="00000000" w:rsidRDefault="00000000" w:rsidRPr="00000000" w14:paraId="00000011">
      <w:pPr>
        <w:shd w:fill="ffffff" w:val="clear"/>
        <w:spacing w:after="0" w:line="240" w:lineRule="auto"/>
        <w:ind w:left="4111" w:firstLine="0"/>
        <w:rPr>
          <w:rFonts w:ascii="Times New Roman" w:cs="Times New Roman" w:eastAsia="Times New Roman" w:hAnsi="Times New Roman"/>
          <w:i w:val="1"/>
          <w:color w:val="000000"/>
          <w:sz w:val="26"/>
          <w:szCs w:val="26"/>
        </w:rPr>
      </w:pPr>
      <w:r w:rsidDel="00000000" w:rsidR="00000000" w:rsidRPr="00000000">
        <w:rPr>
          <w:rtl w:val="0"/>
        </w:rPr>
      </w:r>
    </w:p>
    <w:p w:rsidR="00000000" w:rsidDel="00000000" w:rsidP="00000000" w:rsidRDefault="00000000" w:rsidRPr="00000000" w14:paraId="00000012">
      <w:pPr>
        <w:shd w:fill="ffffff" w:val="clear"/>
        <w:spacing w:after="0" w:line="240" w:lineRule="auto"/>
        <w:ind w:left="4111"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В. о. директора Департаменту міського благоустрою </w:t>
      </w:r>
      <w:r w:rsidDel="00000000" w:rsidR="00000000" w:rsidRPr="00000000">
        <w:rPr>
          <w:rtl w:val="0"/>
        </w:rPr>
      </w:r>
    </w:p>
    <w:p w:rsidR="00000000" w:rsidDel="00000000" w:rsidP="00000000" w:rsidRDefault="00000000" w:rsidRPr="00000000" w14:paraId="00000013">
      <w:pPr>
        <w:shd w:fill="ffffff" w:val="clear"/>
        <w:spacing w:after="0" w:line="240" w:lineRule="auto"/>
        <w:ind w:left="4111"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highlight w:val="white"/>
          <w:rtl w:val="0"/>
        </w:rPr>
        <w:t xml:space="preserve">Ткаченку Т. Ф.</w:t>
      </w:r>
      <w:r w:rsidDel="00000000" w:rsidR="00000000" w:rsidRPr="00000000">
        <w:rPr>
          <w:rtl w:val="0"/>
        </w:rPr>
      </w:r>
    </w:p>
    <w:p w:rsidR="00000000" w:rsidDel="00000000" w:rsidP="00000000" w:rsidRDefault="00000000" w:rsidRPr="00000000" w14:paraId="00000014">
      <w:pPr>
        <w:shd w:fill="ffffff" w:val="clear"/>
        <w:spacing w:after="0" w:line="240" w:lineRule="auto"/>
        <w:ind w:left="4111" w:firstLine="0"/>
        <w:rPr>
          <w:rFonts w:ascii="Times New Roman" w:cs="Times New Roman" w:eastAsia="Times New Roman" w:hAnsi="Times New Roman"/>
          <w:i w:val="1"/>
          <w:color w:val="000000"/>
          <w:sz w:val="26"/>
          <w:szCs w:val="26"/>
          <w:highlight w:val="white"/>
        </w:rPr>
      </w:pPr>
      <w:r w:rsidDel="00000000" w:rsidR="00000000" w:rsidRPr="00000000">
        <w:rPr>
          <w:rFonts w:ascii="Times New Roman" w:cs="Times New Roman" w:eastAsia="Times New Roman" w:hAnsi="Times New Roman"/>
          <w:i w:val="1"/>
          <w:color w:val="000000"/>
          <w:sz w:val="26"/>
          <w:szCs w:val="26"/>
          <w:highlight w:val="white"/>
          <w:rtl w:val="0"/>
        </w:rPr>
        <w:t xml:space="preserve">03680, м. Київ, вул. Дегтярівська, 31, корп. 2</w:t>
      </w:r>
    </w:p>
    <w:p w:rsidR="00000000" w:rsidDel="00000000" w:rsidP="00000000" w:rsidRDefault="00000000" w:rsidRPr="00000000" w14:paraId="00000015">
      <w:pPr>
        <w:shd w:fill="ffffff" w:val="clear"/>
        <w:spacing w:after="0" w:line="240" w:lineRule="auto"/>
        <w:ind w:left="4111" w:firstLine="0"/>
        <w:rPr>
          <w:rFonts w:ascii="Times New Roman" w:cs="Times New Roman" w:eastAsia="Times New Roman" w:hAnsi="Times New Roman"/>
          <w:i w:val="1"/>
          <w:color w:val="000000"/>
          <w:sz w:val="26"/>
          <w:szCs w:val="26"/>
          <w:highlight w:val="white"/>
        </w:rPr>
      </w:pPr>
      <w:r w:rsidDel="00000000" w:rsidR="00000000" w:rsidRPr="00000000">
        <w:rPr>
          <w:rtl w:val="0"/>
        </w:rPr>
      </w:r>
    </w:p>
    <w:p w:rsidR="00000000" w:rsidDel="00000000" w:rsidP="00000000" w:rsidRDefault="00000000" w:rsidRPr="00000000" w14:paraId="00000016">
      <w:pPr>
        <w:shd w:fill="ffffff" w:val="clear"/>
        <w:spacing w:after="0" w:line="240" w:lineRule="auto"/>
        <w:ind w:left="4111" w:firstLine="0"/>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В. о. директора Департаменту з питань </w:t>
      </w:r>
    </w:p>
    <w:p w:rsidR="00000000" w:rsidDel="00000000" w:rsidP="00000000" w:rsidRDefault="00000000" w:rsidRPr="00000000" w14:paraId="00000017">
      <w:pPr>
        <w:shd w:fill="ffffff" w:val="clear"/>
        <w:spacing w:after="0" w:line="240" w:lineRule="auto"/>
        <w:ind w:left="4111" w:firstLine="0"/>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державного архітектурно-будівельного контролю м. Києва</w:t>
      </w:r>
    </w:p>
    <w:p w:rsidR="00000000" w:rsidDel="00000000" w:rsidP="00000000" w:rsidRDefault="00000000" w:rsidRPr="00000000" w14:paraId="00000018">
      <w:pPr>
        <w:shd w:fill="ffffff" w:val="clear"/>
        <w:spacing w:after="0" w:line="240" w:lineRule="auto"/>
        <w:ind w:left="4111" w:firstLine="0"/>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Попович О. М.</w:t>
      </w:r>
    </w:p>
    <w:p w:rsidR="00000000" w:rsidDel="00000000" w:rsidP="00000000" w:rsidRDefault="00000000" w:rsidRPr="00000000" w14:paraId="00000019">
      <w:pPr>
        <w:shd w:fill="ffffff" w:val="clear"/>
        <w:spacing w:after="0" w:line="240" w:lineRule="auto"/>
        <w:ind w:left="4111"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color w:val="000000"/>
          <w:sz w:val="26"/>
          <w:szCs w:val="26"/>
          <w:highlight w:val="white"/>
          <w:rtl w:val="0"/>
        </w:rPr>
        <w:t xml:space="preserve">01001, м. Київ, вул. Хрещатик, 32-а</w:t>
      </w:r>
      <w:r w:rsidDel="00000000" w:rsidR="00000000" w:rsidRPr="00000000">
        <w:rPr>
          <w:rtl w:val="0"/>
        </w:rPr>
      </w:r>
    </w:p>
    <w:p w:rsidR="00000000" w:rsidDel="00000000" w:rsidP="00000000" w:rsidRDefault="00000000" w:rsidRPr="00000000" w14:paraId="0000001A">
      <w:pPr>
        <w:spacing w:after="0" w:line="240" w:lineRule="auto"/>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r w:rsidDel="00000000" w:rsidR="00000000" w:rsidRPr="00000000">
        <w:rPr>
          <w:rtl w:val="0"/>
        </w:rPr>
      </w:r>
    </w:p>
    <w:p w:rsidR="00000000" w:rsidDel="00000000" w:rsidP="00000000" w:rsidRDefault="00000000" w:rsidRPr="00000000" w14:paraId="0000001D">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щодо перевірки законності </w:t>
      </w:r>
    </w:p>
    <w:p w:rsidR="00000000" w:rsidDel="00000000" w:rsidP="00000000" w:rsidRDefault="00000000" w:rsidRPr="00000000" w14:paraId="0000001F">
      <w:pPr>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функціонування АЗС на вул. Теліги, 61</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Мені, як депутату Київської міської ради, стало відомо щодо функціонування незаконної автозаправної станції на вул. Олени Теліги, 61 у Подільському районі м. Києва </w:t>
      </w:r>
      <w:r w:rsidDel="00000000" w:rsidR="00000000" w:rsidRPr="00000000">
        <w:rPr>
          <w:rFonts w:ascii="Times New Roman" w:cs="Times New Roman" w:eastAsia="Times New Roman" w:hAnsi="Times New Roman"/>
          <w:color w:val="000000"/>
          <w:sz w:val="26"/>
          <w:szCs w:val="26"/>
          <w:rtl w:val="0"/>
        </w:rPr>
        <w:t xml:space="preserve">(кадастровий номер </w:t>
      </w:r>
      <w:r w:rsidDel="00000000" w:rsidR="00000000" w:rsidRPr="00000000">
        <w:rPr>
          <w:rFonts w:ascii="Times New Roman" w:cs="Times New Roman" w:eastAsia="Times New Roman" w:hAnsi="Times New Roman"/>
          <w:sz w:val="26"/>
          <w:szCs w:val="26"/>
          <w:rtl w:val="0"/>
        </w:rPr>
        <w:t xml:space="preserve">8000000000:85:208:0001</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діяльність якої постійно створює загрозу заподіяння значної шкоди життю та здоров’ю громадян та може призвести до еколого-техногенного лиха.</w:t>
      </w:r>
    </w:p>
    <w:p w:rsidR="00000000" w:rsidDel="00000000" w:rsidP="00000000" w:rsidRDefault="00000000" w:rsidRPr="00000000" w14:paraId="00000022">
      <w:pP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 наявною інформацією, ТОВ «Пантера ЛТД» (код ЄДРПОУ 35059351) (торгова марка «Авантаж 7») здійснює на АЗС на вул. Олени Теліги, 61 діяльність з продажу бензину, дизельного палива, а також скрапленого газу, без введення об’єкта в експлуатацію та без дотримання норм охорони праці, пожежної безпеки, охорони навколишнього природного середовища.</w:t>
      </w:r>
    </w:p>
    <w:p w:rsidR="00000000" w:rsidDel="00000000" w:rsidP="00000000" w:rsidRDefault="00000000" w:rsidRPr="00000000" w14:paraId="00000023">
      <w:pP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Зазначений вид діяльності є вкрай небезпечним та може призвести до виникнення надзвичайних ситуацій техногенного характеру, оскільки деякі з цих об’єктів розташовані в безпосередній близькості до об’єктів житлового будівництва та, вочевидь, із порушенням чинних будівельних норм, протипожежної безпеки та дотримання санітарно-захисних зон. </w:t>
      </w:r>
    </w:p>
    <w:p w:rsidR="00000000" w:rsidDel="00000000" w:rsidP="00000000" w:rsidRDefault="00000000" w:rsidRPr="00000000" w14:paraId="00000024">
      <w:pP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Крім того, громадяни стверджують, що на вказаному об’єкті відсутні будь-які пожежні гідранти, пожежні водойми/резервуари, відсутня проектна документація та засоби протипожежного захисту (системи пожежогасіння, пожежної сигналізації, оповіщування про пожежу та управління евакуацією людей, протидимного захисту, пожежного спостерігання, первинні засоби пожежогасіння, вогнезахист конструкцій (матеріалів, виробів) тощо). Також відсутня інформація щодо наявності у експлуататора АЗК плану ліквідації аварійних ситуацій, що має обов’язково бути наявним при використанні об’єктів підвищеної небезпеки.</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огляду на зазначене, виникає необхідність у здійсненні перевірки законності будівництва та функціонування автозаправної станції на вул. Олени Теліги, 61 у Подільському районі м. Києва </w:t>
      </w:r>
      <w:r w:rsidDel="00000000" w:rsidR="00000000" w:rsidRPr="00000000">
        <w:rPr>
          <w:rFonts w:ascii="Times New Roman" w:cs="Times New Roman" w:eastAsia="Times New Roman" w:hAnsi="Times New Roman"/>
          <w:color w:val="000000"/>
          <w:sz w:val="26"/>
          <w:szCs w:val="26"/>
          <w:rtl w:val="0"/>
        </w:rPr>
        <w:t xml:space="preserve">(кадастровий номер </w:t>
      </w:r>
      <w:r w:rsidDel="00000000" w:rsidR="00000000" w:rsidRPr="00000000">
        <w:rPr>
          <w:rFonts w:ascii="Times New Roman" w:cs="Times New Roman" w:eastAsia="Times New Roman" w:hAnsi="Times New Roman"/>
          <w:sz w:val="26"/>
          <w:szCs w:val="26"/>
          <w:rtl w:val="0"/>
        </w:rPr>
        <w:t xml:space="preserve">8000000000:85:208:0001</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Враховуючи вищевикладене та керуючись ст. 13 Закону України «Про статус депутатів місцевих рад», на виконання моїх повноважень, як депутата Київської міської ради, -</w:t>
      </w: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ПРОШУ:</w:t>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360"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Департамент земельних ресурсів:</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Здійснити виїзну перевірку (обстеження) земельної ділянки </w:t>
      </w:r>
      <w:r w:rsidDel="00000000" w:rsidR="00000000" w:rsidRPr="00000000">
        <w:rPr>
          <w:rFonts w:ascii="Times New Roman" w:cs="Times New Roman" w:eastAsia="Times New Roman" w:hAnsi="Times New Roman"/>
          <w:sz w:val="26"/>
          <w:szCs w:val="26"/>
          <w:rtl w:val="0"/>
        </w:rPr>
        <w:t xml:space="preserve">на вул. Олени Теліги, 61 у Подільському районі м. Києва</w:t>
      </w:r>
      <w:r w:rsidDel="00000000" w:rsidR="00000000" w:rsidRPr="00000000">
        <w:rPr>
          <w:rFonts w:ascii="Times New Roman" w:cs="Times New Roman" w:eastAsia="Times New Roman" w:hAnsi="Times New Roman"/>
          <w:color w:val="000000"/>
          <w:sz w:val="26"/>
          <w:szCs w:val="26"/>
          <w:rtl w:val="0"/>
        </w:rPr>
        <w:t xml:space="preserve"> (кадастровий номер </w:t>
      </w:r>
      <w:r w:rsidDel="00000000" w:rsidR="00000000" w:rsidRPr="00000000">
        <w:rPr>
          <w:rFonts w:ascii="Times New Roman" w:cs="Times New Roman" w:eastAsia="Times New Roman" w:hAnsi="Times New Roman"/>
          <w:sz w:val="26"/>
          <w:szCs w:val="26"/>
          <w:rtl w:val="0"/>
        </w:rPr>
        <w:t xml:space="preserve">8000000000:85:208:0001</w:t>
      </w:r>
      <w:r w:rsidDel="00000000" w:rsidR="00000000" w:rsidRPr="00000000">
        <w:rPr>
          <w:rFonts w:ascii="Times New Roman" w:cs="Times New Roman" w:eastAsia="Times New Roman" w:hAnsi="Times New Roman"/>
          <w:color w:val="000000"/>
          <w:sz w:val="26"/>
          <w:szCs w:val="26"/>
          <w:rtl w:val="0"/>
        </w:rPr>
        <w:t xml:space="preserve">) щодо використання земельної ділянки відповідно до її цільового призначення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Надати копії правовстановлюючих документів та інформацію щодо власників/користувачів земельної ділянки н</w:t>
      </w:r>
      <w:r w:rsidDel="00000000" w:rsidR="00000000" w:rsidRPr="00000000">
        <w:rPr>
          <w:rFonts w:ascii="Times New Roman" w:cs="Times New Roman" w:eastAsia="Times New Roman" w:hAnsi="Times New Roman"/>
          <w:sz w:val="26"/>
          <w:szCs w:val="26"/>
          <w:rtl w:val="0"/>
        </w:rPr>
        <w:t xml:space="preserve">а вул. Олени Теліги, 61 у Подільському районі м. Києва</w:t>
      </w:r>
      <w:r w:rsidDel="00000000" w:rsidR="00000000" w:rsidRPr="00000000">
        <w:rPr>
          <w:rFonts w:ascii="Times New Roman" w:cs="Times New Roman" w:eastAsia="Times New Roman" w:hAnsi="Times New Roman"/>
          <w:color w:val="000000"/>
          <w:sz w:val="26"/>
          <w:szCs w:val="26"/>
          <w:rtl w:val="0"/>
        </w:rPr>
        <w:t xml:space="preserve"> (кадастровий номер </w:t>
      </w:r>
      <w:r w:rsidDel="00000000" w:rsidR="00000000" w:rsidRPr="00000000">
        <w:rPr>
          <w:rFonts w:ascii="Times New Roman" w:cs="Times New Roman" w:eastAsia="Times New Roman" w:hAnsi="Times New Roman"/>
          <w:sz w:val="26"/>
          <w:szCs w:val="26"/>
          <w:rtl w:val="0"/>
        </w:rPr>
        <w:t xml:space="preserve">8000000000:85:208:0001</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360"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Департамент містобудування та архітектури:</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Надати належним чином завірені копії містобудівних умов та обмежень земельної ділянки, графічні матеріали з відображенням червоних ліній, ліній регулювання забудови, витяг з містобудівного кадастру та дозвільної документації щодо забудови земельної ділянки </w:t>
      </w:r>
      <w:r w:rsidDel="00000000" w:rsidR="00000000" w:rsidRPr="00000000">
        <w:rPr>
          <w:rFonts w:ascii="Times New Roman" w:cs="Times New Roman" w:eastAsia="Times New Roman" w:hAnsi="Times New Roman"/>
          <w:sz w:val="26"/>
          <w:szCs w:val="26"/>
          <w:rtl w:val="0"/>
        </w:rPr>
        <w:t xml:space="preserve">на вул. Олени Теліги, 61 у Подільському районі м. Києва</w:t>
      </w:r>
      <w:r w:rsidDel="00000000" w:rsidR="00000000" w:rsidRPr="00000000">
        <w:rPr>
          <w:rFonts w:ascii="Times New Roman" w:cs="Times New Roman" w:eastAsia="Times New Roman" w:hAnsi="Times New Roman"/>
          <w:color w:val="000000"/>
          <w:sz w:val="26"/>
          <w:szCs w:val="26"/>
          <w:rtl w:val="0"/>
        </w:rPr>
        <w:t xml:space="preserve"> (кадастровий номер </w:t>
      </w:r>
      <w:r w:rsidDel="00000000" w:rsidR="00000000" w:rsidRPr="00000000">
        <w:rPr>
          <w:rFonts w:ascii="Times New Roman" w:cs="Times New Roman" w:eastAsia="Times New Roman" w:hAnsi="Times New Roman"/>
          <w:sz w:val="26"/>
          <w:szCs w:val="26"/>
          <w:rtl w:val="0"/>
        </w:rPr>
        <w:t xml:space="preserve">8000000000:85:208:0001</w:t>
      </w:r>
      <w:r w:rsidDel="00000000" w:rsidR="00000000" w:rsidRPr="00000000">
        <w:rPr>
          <w:rFonts w:ascii="Times New Roman" w:cs="Times New Roman" w:eastAsia="Times New Roman" w:hAnsi="Times New Roman"/>
          <w:color w:val="000000"/>
          <w:sz w:val="26"/>
          <w:szCs w:val="26"/>
          <w:rtl w:val="0"/>
        </w:rPr>
        <w:t xml:space="preserve">), у випадку видачі зазначеного документа.</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 випадку видачі дозвільної документації щодо забудови земельних ділянок на </w:t>
      </w:r>
      <w:r w:rsidDel="00000000" w:rsidR="00000000" w:rsidRPr="00000000">
        <w:rPr>
          <w:rFonts w:ascii="Times New Roman" w:cs="Times New Roman" w:eastAsia="Times New Roman" w:hAnsi="Times New Roman"/>
          <w:sz w:val="26"/>
          <w:szCs w:val="26"/>
          <w:rtl w:val="0"/>
        </w:rPr>
        <w:t xml:space="preserve">вул. Олени Теліги, 61 у Подільському районі м. Києва</w:t>
      </w:r>
      <w:r w:rsidDel="00000000" w:rsidR="00000000" w:rsidRPr="00000000">
        <w:rPr>
          <w:rFonts w:ascii="Times New Roman" w:cs="Times New Roman" w:eastAsia="Times New Roman" w:hAnsi="Times New Roman"/>
          <w:color w:val="000000"/>
          <w:sz w:val="26"/>
          <w:szCs w:val="26"/>
          <w:rtl w:val="0"/>
        </w:rPr>
        <w:t xml:space="preserve"> (кадастровий номер </w:t>
      </w:r>
      <w:r w:rsidDel="00000000" w:rsidR="00000000" w:rsidRPr="00000000">
        <w:rPr>
          <w:rFonts w:ascii="Times New Roman" w:cs="Times New Roman" w:eastAsia="Times New Roman" w:hAnsi="Times New Roman"/>
          <w:sz w:val="26"/>
          <w:szCs w:val="26"/>
          <w:rtl w:val="0"/>
        </w:rPr>
        <w:t xml:space="preserve">8000000000:85:208:0001</w:t>
      </w:r>
      <w:r w:rsidDel="00000000" w:rsidR="00000000" w:rsidRPr="00000000">
        <w:rPr>
          <w:rFonts w:ascii="Times New Roman" w:cs="Times New Roman" w:eastAsia="Times New Roman" w:hAnsi="Times New Roman"/>
          <w:color w:val="000000"/>
          <w:sz w:val="26"/>
          <w:szCs w:val="26"/>
          <w:rtl w:val="0"/>
        </w:rPr>
        <w:t xml:space="preserve">),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360"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Департамент міського благоустрою:</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 випадку видачі контрольної картки на тимчасове порушення благоустрою, надати належним чином завірену копію такого документу та копії усіх документів, на підставі яких відповідна картка видавалась.</w:t>
      </w:r>
    </w:p>
    <w:p w:rsidR="00000000" w:rsidDel="00000000" w:rsidP="00000000" w:rsidRDefault="00000000" w:rsidRPr="00000000" w14:paraId="00000033">
      <w:pPr>
        <w:numPr>
          <w:ilvl w:val="0"/>
          <w:numId w:val="1"/>
        </w:numPr>
        <w:spacing w:after="0" w:line="240" w:lineRule="auto"/>
        <w:ind w:left="360" w:hanging="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highlight w:val="white"/>
          <w:rtl w:val="0"/>
        </w:rPr>
        <w:t xml:space="preserve">Департамент з питань державного архітектурно-будівельного контролю м. Києва:</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Здійснити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на земельній ділянці.</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tabs>
          <w:tab w:val="left" w:pos="284"/>
          <w:tab w:val="left" w:pos="426"/>
        </w:tabs>
        <w:spacing w:after="0" w:line="240" w:lineRule="auto"/>
        <w:ind w:left="720" w:hanging="360"/>
        <w:jc w:val="both"/>
        <w:rPr>
          <w:color w:val="000000"/>
          <w:sz w:val="26"/>
          <w:szCs w:val="26"/>
        </w:rPr>
      </w:pPr>
      <w:r w:rsidDel="00000000" w:rsidR="00000000" w:rsidRPr="00000000">
        <w:rPr>
          <w:rFonts w:ascii="Times New Roman" w:cs="Times New Roman" w:eastAsia="Times New Roman" w:hAnsi="Times New Roman"/>
          <w:sz w:val="26"/>
          <w:szCs w:val="26"/>
          <w:rtl w:val="0"/>
        </w:rPr>
        <w:t xml:space="preserve">Повідомити, чи надавались/реєструвались документи дозвільного характеру на об’єкт будівництва за адресою: м. Київ, Подільський район, Олени Теліги, 61 </w:t>
      </w:r>
      <w:r w:rsidDel="00000000" w:rsidR="00000000" w:rsidRPr="00000000">
        <w:rPr>
          <w:rFonts w:ascii="Times New Roman" w:cs="Times New Roman" w:eastAsia="Times New Roman" w:hAnsi="Times New Roman"/>
          <w:color w:val="000000"/>
          <w:sz w:val="26"/>
          <w:szCs w:val="26"/>
          <w:rtl w:val="0"/>
        </w:rPr>
        <w:t xml:space="preserve">(кадастровий номер </w:t>
      </w:r>
      <w:r w:rsidDel="00000000" w:rsidR="00000000" w:rsidRPr="00000000">
        <w:rPr>
          <w:rFonts w:ascii="Times New Roman" w:cs="Times New Roman" w:eastAsia="Times New Roman" w:hAnsi="Times New Roman"/>
          <w:sz w:val="26"/>
          <w:szCs w:val="26"/>
          <w:rtl w:val="0"/>
        </w:rPr>
        <w:t xml:space="preserve">8000000000:85:208:0001</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надати копії декларації/дозволу про початок виконання підготовчих/будівельних робіт.</w:t>
      </w: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tabs>
          <w:tab w:val="left" w:pos="284"/>
          <w:tab w:val="left" w:pos="426"/>
        </w:tabs>
        <w:spacing w:after="0" w:line="240" w:lineRule="auto"/>
        <w:ind w:left="720"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 разі виявлення порушень, вжити заходи щодо скасування (анулювання) дозвільних документів, що дають право на виконання підготовчих та будівельних робіт (в разі їх наявності) або притягнення до відповідальності осіб, у разі виконання робіт за відсутності відповідних документів.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360" w:hanging="360"/>
        <w:jc w:val="both"/>
        <w:rPr>
          <w:rFonts w:ascii="Times New Roman" w:cs="Times New Roman" w:eastAsia="Times New Roman" w:hAnsi="Times New Roman"/>
          <w:color w:val="000000"/>
          <w:sz w:val="26"/>
          <w:szCs w:val="26"/>
        </w:rPr>
      </w:pPr>
      <w:bookmarkStart w:colFirst="0" w:colLast="0" w:name="_gjdgxs" w:id="0"/>
      <w:bookmarkEnd w:id="0"/>
      <w:r w:rsidDel="00000000" w:rsidR="00000000" w:rsidRPr="00000000">
        <w:rPr>
          <w:rFonts w:ascii="Times New Roman" w:cs="Times New Roman" w:eastAsia="Times New Roman" w:hAnsi="Times New Roman"/>
          <w:color w:val="000000"/>
          <w:sz w:val="26"/>
          <w:szCs w:val="26"/>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7">
        <w:r w:rsidDel="00000000" w:rsidR="00000000" w:rsidRPr="00000000">
          <w:rPr>
            <w:rFonts w:ascii="Times New Roman" w:cs="Times New Roman" w:eastAsia="Times New Roman" w:hAnsi="Times New Roman"/>
            <w:color w:val="000000"/>
            <w:sz w:val="26"/>
            <w:szCs w:val="26"/>
            <w:u w:val="single"/>
            <w:rtl w:val="0"/>
          </w:rPr>
          <w:t xml:space="preserve">fedorenkoys.kmr@gmail.com</w:t>
        </w:r>
      </w:hyperlink>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Додатки:</w:t>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Картографічні матеріали </w:t>
        <w:tab/>
        <w:tab/>
        <w:tab/>
        <w:tab/>
        <w:tab/>
        <w:tab/>
        <w:tab/>
        <w:tab/>
        <w:t xml:space="preserve">(1 арк.)</w:t>
      </w:r>
    </w:p>
    <w:p w:rsidR="00000000" w:rsidDel="00000000" w:rsidP="00000000" w:rsidRDefault="00000000" w:rsidRPr="00000000" w14:paraId="0000003D">
      <w:pPr>
        <w:shd w:fill="ffffff" w:val="clea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F">
      <w:pPr>
        <w:shd w:fill="ffffff" w:val="clea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З повагою</w:t>
      </w:r>
      <w:r w:rsidDel="00000000" w:rsidR="00000000" w:rsidRPr="00000000">
        <w:rPr>
          <w:rtl w:val="0"/>
        </w:rPr>
      </w:r>
    </w:p>
    <w:p w:rsidR="00000000" w:rsidDel="00000000" w:rsidP="00000000" w:rsidRDefault="00000000" w:rsidRPr="00000000" w14:paraId="00000040">
      <w:pPr>
        <w:shd w:fill="ffffff" w:val="clea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18"/>
          <w:szCs w:val="18"/>
        </w:rPr>
      </w:pPr>
      <w:bookmarkStart w:colFirst="0" w:colLast="0" w:name="_30j0zll" w:id="1"/>
      <w:bookmarkEnd w:id="1"/>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i w:val="1"/>
          <w:color w:val="000000"/>
          <w:sz w:val="18"/>
          <w:szCs w:val="1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i w:val="1"/>
          <w:color w:val="000000"/>
          <w:sz w:val="18"/>
          <w:szCs w:val="18"/>
          <w:rtl w:val="0"/>
        </w:rPr>
        <w:t xml:space="preserve">Виконавець: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i w:val="1"/>
          <w:color w:val="000000"/>
          <w:sz w:val="18"/>
          <w:szCs w:val="18"/>
          <w:rtl w:val="0"/>
        </w:rPr>
        <w:t xml:space="preserve">Бодак Олена, (098)-525-86-13</w:t>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edorenkoys.km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