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2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86"/>
        <w:gridCol w:w="4540"/>
        <w:tblGridChange w:id="0">
          <w:tblGrid>
            <w:gridCol w:w="4486"/>
            <w:gridCol w:w="4540"/>
          </w:tblGrid>
        </w:tblGridChange>
      </w:tblGrid>
      <w:tr>
        <w:tc>
          <w:tcPr/>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 _____________ 2021 року</w:t>
            </w:r>
          </w:p>
        </w:tc>
        <w:tc>
          <w:tcPr/>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 № ______________________</w:t>
            </w:r>
          </w:p>
        </w:tc>
      </w:tr>
      <w:tr>
        <w:tc>
          <w:tcPr/>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c>
          <w:tcPr/>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r>
      <w:tr>
        <w:tc>
          <w:tcPr/>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Кому:</w:t>
            </w:r>
          </w:p>
        </w:tc>
        <w:tc>
          <w:tcPr/>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Виконувачу обов'язків директора Департаменту транспортної інфраструктури виконавчого органу Київської міської ради (Київської міської державної адміністрації)</w:t>
            </w:r>
          </w:p>
        </w:tc>
      </w:tr>
      <w:tr>
        <w:tc>
          <w:tcPr/>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c>
          <w:tcPr/>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ШПИЛЬОВОМУ Іванові Федоровичу</w:t>
            </w:r>
          </w:p>
        </w:tc>
      </w:tr>
      <w:tr>
        <w:tc>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c>
          <w:tcPr/>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r>
      <w:tr>
        <w:tc>
          <w:tcPr/>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c>
          <w:tcPr/>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r>
      <w:tr>
        <w:tc>
          <w:tcPr/>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w:t>
            </w:r>
          </w:p>
        </w:tc>
        <w:tc>
          <w:tcPr/>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Депутата Київської міської ради</w:t>
            </w:r>
          </w:p>
        </w:tc>
      </w:tr>
      <w:tr>
        <w:tc>
          <w:tcPr/>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c>
          <w:tcPr/>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ПОРАЙКА Андрія Миколайовича</w:t>
            </w:r>
          </w:p>
        </w:tc>
      </w:tr>
      <w:tr>
        <w:tc>
          <w:tcPr/>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c>
          <w:tcPr/>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r>
      <w:tr>
        <w:tc>
          <w:tcPr/>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c>
          <w:tcPr/>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r>
    </w:tbl>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ДЕПУТАТСЬКЕ ЗВЕРНЕННЯ</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Шановний Іване Федоровичу!</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Цим хочу засвідчити Вам свою повагу та звернутись до Вас щодо вирішення такого питання.</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мене як депутата Київської міської ради звернулися мешканці 20-го мікрорайону житлового масиву Вигурівщина-Троєщина у Деснянському районі міста Києва щодо зміни траси руху тролейбусних маршрутів №№50к та/або 30 з метою забезпечення можливості мешканців цього мікрорайону, включаючи маломобільні групи населення, в тому числі осіб похилого віку та осіб з інвалідністю, користуватись комунальним електротранспортом та автобусним транспортом загального користування.</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Заявники зазначають, що в 20-му мікрорайоні житлового масиву Вигурівщина-Троєщина у Деснянському районі міста Києва проживає близько 16 тисяч осіб, більше тисячі з яких – діти віком до 6 років. Значну кількість мешканців також складають особи похилого віку.</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цьому 20-й мікрорайон житлового масиву Вигурівщина-Троєщина у Деснянському районі міста Києва позбавлений безпосереднього маршрутного сполучення комунальним транспортом, який придатний для використання маломобільними групами населення, з головною транспортною магістраллю Деснянського району – проспектом Володимира Маяковського, на якому знаходиться більшість соціально важливих закладів району, в тому числі Деснянська районна в місті Києві державна адміністрація.</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Через відсутність маршрутів, що включають рухомий склад, пристосований для маломобільних груп населення, особи похилого віку, батьки з дітьми на колясках та особи з інвалідністю, які проживають у цьому мікрорайоні, зазнають суттєвих перешкод у можливості швидко та безпечно дістатись до важливих для них закладів соціальної інфраструктури.</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Одним зі способів вирішення цієї проблеми, на думку заявників, є зміна траси руху тролейбусних маршрутів №№50к та/або 30 шляхом продовження до перехрестя вулиць Милославської та Миколи Закревського.</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цьому відповідно до пунктів 5.29, 5.38, 5.40 та 5.41 Положення про Департамент транспортної інфраструктури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19.11.2018 року № 2089 (у редакції розпорядження виконавчого органу Київської міської ради (Київської міської державної адміністрації) від 10.12.2020 року № 1936), Департамент транспортної інфраструктури відповідно до покладених на нього завдань забезпечує формування мережі міських автобусних маршрутів загального користування, веде їх реєстр, затверджує паспорти автобусних маршрутів загального користування; здійснює функції замовника транспортних послуг з перевезень міським електричним транспортом; виконує функції замовника будівництва, реконструкції та ремонту об'єктів міського пасажирського транспорту і транспортної інфраструктури; організовує роботи щодо створення умов для доступу осіб з інвалідністю до об'єктів фізичного оточення та транспорту загального користування для перевезення пасажирів тощо.</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огляду на це та керуючись статтями 11 та 13 Закону України "Про статус депутатів місцевих рад",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ПРОШУ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межах повноважень вжити заходів для поліпшення рівня забезпеченості мешканців 20-го мікрорайону житлового масиву Вигурівщина-Троєщина у Деснянському районі міста Києва маршрутами комунального транспорту (електротранспорту та/або автобусного транспорту загального користування), придатного для перевезення маломобільних груп населення (в тому числі осіб похилого віку, осіб з інвалідністю та батьків з колясками для малолітніх дітей), траси руху якого проходять по проспекту Володимира Маяковського у Деснянському районі міста Києва.</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Розглянути можливість зміни траси руху тролейбусних маршрутів №№50к та/або 30 шляхом продовження до перехрестя вулиць Милославської та Миколи Закревського.</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Сподіваюсь на Ваше розуміння та подальшу плідну співпрацю у вирішенні цієї проблеми!</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 повагою</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Андрій ПОРАЙКО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t xml:space="preserve">Депутат Київської міської ради</w:t>
      </w:r>
      <w:r w:rsidDel="00000000" w:rsidR="00000000" w:rsidRPr="00000000">
        <w:rPr>
          <w:rtl w:val="0"/>
        </w:rPr>
      </w:r>
    </w:p>
    <w:sectPr>
      <w:headerReference r:id="rId6" w:type="default"/>
      <w:headerReference r:id="rId7" w:type="first"/>
      <w:footerReference r:id="rId8" w:type="default"/>
      <w:pgSz w:h="16838" w:w="11906" w:orient="portrait"/>
      <w:pgMar w:bottom="1440" w:top="1440"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Benguiat R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after="0" w:lineRule="auto"/>
      <w:ind w:firstLine="0"/>
      <w:jc w:val="center"/>
      <w:rPr>
        <w:sz w:val="48"/>
        <w:szCs w:val="48"/>
      </w:rPr>
    </w:pPr>
    <w:r w:rsidDel="00000000" w:rsidR="00000000" w:rsidRPr="00000000">
      <w:rPr/>
      <w:drawing>
        <wp:anchor allowOverlap="1" behindDoc="0" distB="0" distT="0" distL="114300" distR="114300" hidden="0" layoutInCell="1" locked="0" relativeHeight="0" simplePos="0">
          <wp:simplePos x="0" y="0"/>
          <wp:positionH relativeFrom="margin">
            <wp:posOffset>2553393</wp:posOffset>
          </wp:positionH>
          <wp:positionV relativeFrom="page">
            <wp:posOffset>217170</wp:posOffset>
          </wp:positionV>
          <wp:extent cx="630000" cy="8676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28">
    <w:pPr>
      <w:spacing w:after="0" w:lineRule="auto"/>
      <w:ind w:left="-142" w:firstLine="0"/>
      <w:jc w:val="center"/>
      <w:rPr>
        <w:rFonts w:ascii="Benguiat Rus" w:cs="Benguiat Rus" w:eastAsia="Benguiat Rus" w:hAnsi="Benguiat Rus"/>
        <w:smallCaps w:val="1"/>
        <w:color w:val="5f497a"/>
        <w:sz w:val="16"/>
        <w:szCs w:val="16"/>
      </w:rPr>
    </w:pPr>
    <w:r w:rsidDel="00000000" w:rsidR="00000000" w:rsidRPr="00000000">
      <w:rPr>
        <w:rtl w:val="0"/>
      </w:rPr>
    </w:r>
  </w:p>
  <w:p w:rsidR="00000000" w:rsidDel="00000000" w:rsidP="00000000" w:rsidRDefault="00000000" w:rsidRPr="00000000" w14:paraId="00000029">
    <w:pPr>
      <w:spacing w:after="0" w:lineRule="auto"/>
      <w:ind w:left="-142" w:firstLine="0"/>
      <w:jc w:val="center"/>
      <w:rPr>
        <w:rFonts w:ascii="Benguiat Rus" w:cs="Benguiat Rus" w:eastAsia="Benguiat Rus" w:hAnsi="Benguiat Rus"/>
        <w:smallCaps w:val="1"/>
        <w:color w:val="5f497a"/>
        <w:sz w:val="16"/>
        <w:szCs w:val="16"/>
      </w:rPr>
    </w:pPr>
    <w:r w:rsidDel="00000000" w:rsidR="00000000" w:rsidRPr="00000000">
      <w:rPr>
        <w:rtl w:val="0"/>
      </w:rPr>
    </w:r>
  </w:p>
  <w:p w:rsidR="00000000" w:rsidDel="00000000" w:rsidP="00000000" w:rsidRDefault="00000000" w:rsidRPr="00000000" w14:paraId="0000002A">
    <w:pPr>
      <w:spacing w:after="0" w:lineRule="auto"/>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2B">
    <w:pPr>
      <w:spacing w:after="0" w:lineRule="auto"/>
      <w:ind w:firstLine="0"/>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2C">
    <w:pPr>
      <w:spacing w:after="0" w:lineRule="auto"/>
      <w:ind w:firstLine="0"/>
      <w:jc w:val="center"/>
      <w:rPr>
        <w:rFonts w:ascii="Benguiat Rus" w:cs="Benguiat Rus" w:eastAsia="Benguiat Rus" w:hAnsi="Benguiat Rus"/>
        <w:color w:val="5f497a"/>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63500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63500</wp:posOffset>
              </wp:positionV>
              <wp:extent cx="6210300" cy="603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210300" cy="6032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2"/>
      <w:lvlJc w:val="left"/>
      <w:pPr>
        <w:ind w:left="720" w:firstLine="0"/>
      </w:pPr>
      <w:rPr/>
    </w:lvl>
    <w:lvl w:ilvl="2">
      <w:start w:val="1"/>
      <w:numFmt w:val="decimal"/>
      <w:lvlText w:val="%3"/>
      <w:lvlJc w:val="left"/>
      <w:pPr>
        <w:ind w:left="1440" w:firstLine="0"/>
      </w:pPr>
      <w:rPr/>
    </w:lvl>
    <w:lvl w:ilvl="3">
      <w:start w:val="1"/>
      <w:numFmt w:val="decimal"/>
      <w:lvlText w:val=""/>
      <w:lvlJc w:val="left"/>
      <w:pPr>
        <w:ind w:left="2160" w:firstLine="0"/>
      </w:pPr>
      <w:rPr/>
    </w:lvl>
    <w:lvl w:ilvl="4">
      <w:start w:val="1"/>
      <w:numFmt w:val="decimal"/>
      <w:lvlText w:val=""/>
      <w:lvlJc w:val="left"/>
      <w:pPr>
        <w:ind w:left="2880" w:firstLine="0"/>
      </w:pPr>
      <w:rPr/>
    </w:lvl>
    <w:lvl w:ilvl="5">
      <w:start w:val="1"/>
      <w:numFmt w:val="decimal"/>
      <w:lvlText w:val=""/>
      <w:lvlJc w:val="left"/>
      <w:pPr>
        <w:ind w:left="3600" w:firstLine="0"/>
      </w:pPr>
      <w:rPr/>
    </w:lvl>
    <w:lvl w:ilvl="6">
      <w:start w:val="1"/>
      <w:numFmt w:val="decimal"/>
      <w:lvlText w:val=""/>
      <w:lvlJc w:val="left"/>
      <w:pPr>
        <w:ind w:left="4320" w:firstLine="0"/>
      </w:pPr>
      <w:rPr/>
    </w:lvl>
    <w:lvl w:ilvl="7">
      <w:start w:val="1"/>
      <w:numFmt w:val="decimal"/>
      <w:lvlText w:val=""/>
      <w:lvlJc w:val="left"/>
      <w:pPr>
        <w:ind w:left="5040" w:firstLine="0"/>
      </w:pPr>
      <w:rPr/>
    </w:lvl>
    <w:lvl w:ilvl="8">
      <w:start w:val="1"/>
      <w:numFmt w:val="decimal"/>
      <w:lvlText w:val=""/>
      <w:lvlJc w:val="left"/>
      <w:pPr>
        <w:ind w:left="5760" w:firstLine="0"/>
      </w:pPr>
      <w:rPr/>
    </w:lvl>
  </w:abstractNum>
  <w:abstractNum w:abstractNumId="2">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decimal"/>
      <w:lvlText w:val="(%2)"/>
      <w:lvlJc w:val="left"/>
      <w:pPr>
        <w:ind w:left="720" w:hanging="72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upperLetter"/>
      <w:lvlText w:val="%3"/>
      <w:lvlJc w:val="left"/>
      <w:pPr>
        <w:ind w:left="720" w:hanging="72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upperLetter"/>
      <w:lvlText w:val="(%4)"/>
      <w:lvlJc w:val="left"/>
      <w:pPr>
        <w:ind w:left="720" w:hanging="7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lowerLetter"/>
      <w:lvlText w:val="(%5)"/>
      <w:lvlJc w:val="left"/>
      <w:pPr>
        <w:ind w:left="720" w:hanging="72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upperRoman"/>
      <w:lvlText w:val="%6"/>
      <w:lvlJc w:val="left"/>
      <w:pPr>
        <w:ind w:left="72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lowerRoman"/>
      <w:lvlText w:val="(%7)"/>
      <w:lvlJc w:val="left"/>
      <w:pPr>
        <w:ind w:left="720" w:hanging="72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8"/>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decimal"/>
      <w:lvlText w:val="%9"/>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