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Journal" w:cs="Journal" w:eastAsia="Journal" w:hAnsi="Journal"/>
        </w:rPr>
        <w:pict>
          <v:shape id="_x0000_i1025" style="width:35.25pt;height:48pt" o:ole="" type="#_x0000_t75">
            <v:imagedata r:id="rId1" o:title=""/>
          </v:shape>
          <o:OLEObject DrawAspect="Content" r:id="rId2" ObjectID="_1656489823" ProgID="PBrush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1"/>
          <w:numId w:val="1"/>
        </w:numPr>
        <w:spacing w:line="240" w:lineRule="auto"/>
        <w:ind w:left="576" w:hanging="576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КИЇВСЬКА ОБЛАСНА ДЕРЖАВНА АДМІНІСТРАЦІЯ 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1"/>
          <w:numId w:val="1"/>
        </w:numPr>
        <w:spacing w:line="240" w:lineRule="auto"/>
        <w:ind w:left="576" w:hanging="576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4"/>
          <w:szCs w:val="34"/>
          <w:rtl w:val="0"/>
        </w:rPr>
        <w:t xml:space="preserve">РОЗПОРЯДЖЕННЯ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від 14 липня 2020 р.                              Київ                                                    № 337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розподіл субвенції з державного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бюджету між місцевими бюджетами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Київської області на 2020 рік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статей 23, 108 Бюджетного кодексу України, Законів України «Про місцеві державні адміністрації», «Про Державний бюджет України на 2020 рік», рішення Київської обласної ради від 19 грудня </w:t>
        <w:br w:type="textWrapping"/>
        <w:t xml:space="preserve">2019 року № 813-32-VII «Про обласний бюджет Київської області на 2020 рік», постанови Кабінету Міністрів України від 28 березня 2018 року № 214 (зі змінами) «Питання забезпечення житлом деяких категорій осіб, які брали участь у бойових діях на території інших держав, а також членів їх сімей», розпорядження Кабінету Міністрів України від 01 липня 2020 року № 801-р «Про розподіл субвенції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статус ветеранів війни, гарантії їх соціального захисту», для осіб з інвалідністю І-ІІ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умов, на 2020 рік», листа департаменту соціального захисту населення Київської облдержадміністрації від       10.07.2020 №4648/02-07.2-08: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Збільшити доходи загального фонду обласного бюджету Київської області на 2020 рік за кодом доходів 41036400 «Субвенція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абзаці першому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пункту 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</w:t>
      </w:r>
      <w:r w:rsidDel="00000000" w:rsidR="00000000" w:rsidRPr="00000000">
        <w:fldChar w:fldCharType="begin"/>
        <w:instrText xml:space="preserve"> HYPERLINK "https://zakon.rada.gov.ua/rada/show/3551-12#n92"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пунктом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2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частини другої статті 7 Закону України «Про статус ветеранів війни, гарантії їх соціального захисту», та які потребують поліпшення житлових умов» на суму 4 450 536,0 гривень.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Збільшити видатки загального фонду обласного бюджету Київської області на 2020 рік за КПКВК МБ 3719243 «Субвенція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абзаці першому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пункту 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пунктом 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частини другої статті </w:t>
        <w:br w:type="textWrapping"/>
        <w:t xml:space="preserve">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бюджету» на суму 4 450 536,0 гривень.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Здійснити розподіл між місцевими бюджетами Київської області на </w:t>
        <w:br w:type="textWrapping"/>
        <w:t xml:space="preserve">2020 рік коштів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абзаці першому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пункту </w:t>
        <w:br w:type="textWrapping"/>
        <w:t xml:space="preserve">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пунктом 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бюджету, згідно з додатком.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Департаменту фінансів Київської облдержадміністрації: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Забезпечити погодження з постійною комісією з питань бюджету та фінансів Київської обласної ради збільшення обсягів дохідної та видаткової частини обласного бюджету, а також розподілу обсягу субвенції з державного бюджету між місцевими бюджетами Київської області.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Врахувати зазначені зміни під час підготовки проєкту змін до рішення Київської обласної ради від 19 грудня 2019 року № 813-32-VII «Про обласний бюджет Київської області на 2020 рік» та подати його для схвалення голові Київської обласної державної адміністрації.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Контроль за виконанням цього розпорядження покласти на заступника голови Київської обласної державної адміністрації Торкунова О.М.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Голова адміністрації                     (підпис)                             Василь ВОЛОДІН</w:t>
      </w:r>
    </w:p>
    <w:p w:rsidR="00000000" w:rsidDel="00000000" w:rsidP="00000000" w:rsidRDefault="00000000" w:rsidRPr="00000000" w14:paraId="00000021">
      <w:pPr>
        <w:spacing w:after="0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</w:t>
      </w:r>
    </w:p>
    <w:p w:rsidR="00000000" w:rsidDel="00000000" w:rsidP="00000000" w:rsidRDefault="00000000" w:rsidRPr="00000000" w14:paraId="00000024">
      <w:pPr>
        <w:spacing w:after="0" w:line="360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розпорядження голови адміністрації </w:t>
      </w:r>
    </w:p>
    <w:p w:rsidR="00000000" w:rsidDel="00000000" w:rsidP="00000000" w:rsidRDefault="00000000" w:rsidRPr="00000000" w14:paraId="00000025">
      <w:pPr>
        <w:tabs>
          <w:tab w:val="left" w:pos="5670"/>
          <w:tab w:val="left" w:pos="6120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14 липня 2020 року № 337</w:t>
      </w:r>
    </w:p>
    <w:p w:rsidR="00000000" w:rsidDel="00000000" w:rsidP="00000000" w:rsidRDefault="00000000" w:rsidRPr="00000000" w14:paraId="00000026">
      <w:pPr>
        <w:spacing w:after="0" w:line="360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6237" w:firstLine="56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87.0" w:type="dxa"/>
        <w:tblLayout w:type="fixed"/>
        <w:tblLook w:val="0000"/>
      </w:tblPr>
      <w:tblGrid>
        <w:gridCol w:w="588"/>
        <w:gridCol w:w="3753"/>
        <w:gridCol w:w="236"/>
        <w:gridCol w:w="2173"/>
        <w:gridCol w:w="347"/>
        <w:gridCol w:w="2464"/>
        <w:gridCol w:w="99"/>
        <w:tblGridChange w:id="0">
          <w:tblGrid>
            <w:gridCol w:w="588"/>
            <w:gridCol w:w="3753"/>
            <w:gridCol w:w="236"/>
            <w:gridCol w:w="2173"/>
            <w:gridCol w:w="347"/>
            <w:gridCol w:w="2464"/>
            <w:gridCol w:w="99"/>
          </w:tblGrid>
        </w:tblGridChange>
      </w:tblGrid>
      <w:tr>
        <w:trPr>
          <w:trHeight w:val="43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Розподіл 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між місцевими бюджетами Київської області на 2020 рік коштів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8"/>
                  <w:szCs w:val="28"/>
                  <w:rtl w:val="0"/>
                </w:rPr>
                <w:t xml:space="preserve">абзаці першому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пункту 1 статті 10 Закону України «Про статус ветеранів війни, гарантії їх соціального захисту», для осіб з інвалідністю I - 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пов'язаних з перебуванням у цих державах, визначених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8"/>
                  <w:szCs w:val="28"/>
                  <w:rtl w:val="0"/>
                </w:rPr>
                <w:t xml:space="preserve">пунктом 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(грн.)</w:t>
            </w:r>
          </w:p>
        </w:tc>
      </w:tr>
      <w:tr>
        <w:trPr>
          <w:trHeight w:val="12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Районні, міські                         (міст обласного значення) об’єднаних територіальних громад бюджети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Обсяг субвенції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Білоцерківський район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ind w:firstLine="28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761 954,41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Києво-Святошинський район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ind w:firstLine="28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223 297,18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Таращанський район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ind w:firstLine="28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761 954,41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Бровари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ind w:firstLine="28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1 761 704,00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 Обухів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ind w:firstLine="28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941 626,00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ind w:firstLine="281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4 450 536,00</w:t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 департаменту </w:t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соціального захисту 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населення адміністрації                           (підпис)                          Ігор МЕЩАН</w:t>
      </w:r>
    </w:p>
    <w:p w:rsidR="00000000" w:rsidDel="00000000" w:rsidP="00000000" w:rsidRDefault="00000000" w:rsidRPr="00000000" w14:paraId="0000007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426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  <w:font w:name="Journ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576" w:hanging="576"/>
      <w:jc w:val="center"/>
    </w:pPr>
    <w:rPr>
      <w:rFonts w:ascii="Arial" w:cs="Arial" w:eastAsia="Arial" w:hAnsi="Arial"/>
      <w:b w:val="1"/>
      <w:color w:val="0000c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 w:val="1"/>
      <w:sz w:val="28"/>
      <w:szCs w:val="28"/>
    </w:rPr>
  </w:style>
  <w:style w:type="paragraph" w:styleId="a" w:default="1">
    <w:name w:val="Normal"/>
    <w:qFormat w:val="1"/>
    <w:rsid w:val="00B768DF"/>
  </w:style>
  <w:style w:type="paragraph" w:styleId="1">
    <w:name w:val="heading 1"/>
    <w:basedOn w:val="a"/>
    <w:next w:val="a"/>
    <w:link w:val="10"/>
    <w:uiPriority w:val="9"/>
    <w:qFormat w:val="1"/>
    <w:rsid w:val="0005546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qFormat w:val="1"/>
    <w:rsid w:val="00195A44"/>
    <w:pPr>
      <w:keepNext w:val="1"/>
      <w:numPr>
        <w:ilvl w:val="1"/>
        <w:numId w:val="1"/>
      </w:numPr>
      <w:suppressAutoHyphens w:val="1"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cs="Arial" w:eastAsia="Times New Roman" w:hAnsi="Arial"/>
      <w:b w:val="1"/>
      <w:color w:val="0000c6"/>
      <w:sz w:val="28"/>
      <w:szCs w:val="20"/>
      <w:lang w:eastAsia="zh-CN" w:val="hr-HR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751A1E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rsid w:val="00195A44"/>
    <w:rPr>
      <w:rFonts w:ascii="Arial" w:cs="Arial" w:eastAsia="Times New Roman" w:hAnsi="Arial"/>
      <w:b w:val="1"/>
      <w:color w:val="0000c6"/>
      <w:sz w:val="28"/>
      <w:szCs w:val="20"/>
      <w:lang w:eastAsia="zh-CN" w:val="hr-HR"/>
    </w:rPr>
  </w:style>
  <w:style w:type="paragraph" w:styleId="a3">
    <w:name w:val="Balloon Text"/>
    <w:basedOn w:val="a"/>
    <w:link w:val="a4"/>
    <w:uiPriority w:val="99"/>
    <w:semiHidden w:val="1"/>
    <w:unhideWhenUsed w:val="1"/>
    <w:rsid w:val="002A31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2A316D"/>
    <w:rPr>
      <w:rFonts w:ascii="Tahoma" w:cs="Tahoma" w:hAnsi="Tahoma"/>
      <w:sz w:val="16"/>
      <w:szCs w:val="16"/>
    </w:rPr>
  </w:style>
  <w:style w:type="character" w:styleId="a5">
    <w:name w:val="Strong"/>
    <w:qFormat w:val="1"/>
    <w:rsid w:val="00A70BF9"/>
    <w:rPr>
      <w:b w:val="1"/>
      <w:bCs w:val="1"/>
    </w:rPr>
  </w:style>
  <w:style w:type="paragraph" w:styleId="a6">
    <w:name w:val="Normal (Web)"/>
    <w:basedOn w:val="a"/>
    <w:semiHidden w:val="1"/>
    <w:unhideWhenUsed w:val="1"/>
    <w:rsid w:val="00DB55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7">
    <w:name w:val="footer"/>
    <w:basedOn w:val="a"/>
    <w:link w:val="11"/>
    <w:uiPriority w:val="99"/>
    <w:unhideWhenUsed w:val="1"/>
    <w:rsid w:val="00DB55BA"/>
    <w:pPr>
      <w:widowControl w:val="0"/>
      <w:tabs>
        <w:tab w:val="center" w:pos="4677"/>
        <w:tab w:val="right" w:pos="9355"/>
      </w:tabs>
      <w:suppressAutoHyphens w:val="1"/>
      <w:spacing w:after="0" w:line="240" w:lineRule="auto"/>
    </w:pPr>
    <w:rPr>
      <w:rFonts w:ascii="Liberation Serif" w:cs="FreeSans" w:eastAsia="WenQuanYi Micro Hei" w:hAnsi="Liberation Serif"/>
      <w:kern w:val="2"/>
      <w:sz w:val="24"/>
      <w:szCs w:val="24"/>
      <w:lang w:bidi="hi-IN" w:eastAsia="zh-CN" w:val="ru-RU"/>
    </w:rPr>
  </w:style>
  <w:style w:type="character" w:styleId="a8" w:customStyle="1">
    <w:name w:val="Нижний колонтитул Знак"/>
    <w:basedOn w:val="a0"/>
    <w:link w:val="a7"/>
    <w:uiPriority w:val="99"/>
    <w:semiHidden w:val="1"/>
    <w:rsid w:val="00DB55BA"/>
  </w:style>
  <w:style w:type="character" w:styleId="a9" w:customStyle="1">
    <w:name w:val="Название Знак"/>
    <w:aliases w:val="Номер таблиці Знак"/>
    <w:basedOn w:val="a0"/>
    <w:link w:val="aa"/>
    <w:locked w:val="1"/>
    <w:rsid w:val="00DB55BA"/>
    <w:rPr>
      <w:b w:val="1"/>
      <w:sz w:val="28"/>
    </w:rPr>
  </w:style>
  <w:style w:type="paragraph" w:styleId="aa">
    <w:name w:val="Title"/>
    <w:aliases w:val="Номер таблиці"/>
    <w:basedOn w:val="a"/>
    <w:link w:val="a9"/>
    <w:qFormat w:val="1"/>
    <w:rsid w:val="00DB55BA"/>
    <w:pPr>
      <w:spacing w:after="0" w:line="240" w:lineRule="auto"/>
      <w:jc w:val="center"/>
    </w:pPr>
    <w:rPr>
      <w:b w:val="1"/>
      <w:sz w:val="28"/>
    </w:rPr>
  </w:style>
  <w:style w:type="character" w:styleId="12" w:customStyle="1">
    <w:name w:val="Название Знак1"/>
    <w:basedOn w:val="a0"/>
    <w:link w:val="aa"/>
    <w:uiPriority w:val="10"/>
    <w:rsid w:val="00DB55BA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11" w:customStyle="1">
    <w:name w:val="Нижний колонтитул Знак1"/>
    <w:basedOn w:val="a0"/>
    <w:link w:val="a7"/>
    <w:uiPriority w:val="99"/>
    <w:locked w:val="1"/>
    <w:rsid w:val="00DB55BA"/>
    <w:rPr>
      <w:rFonts w:ascii="Liberation Serif" w:cs="FreeSans" w:eastAsia="WenQuanYi Micro Hei" w:hAnsi="Liberation Serif"/>
      <w:kern w:val="2"/>
      <w:sz w:val="24"/>
      <w:szCs w:val="24"/>
      <w:lang w:bidi="hi-IN" w:eastAsia="zh-CN" w:val="ru-RU"/>
    </w:rPr>
  </w:style>
  <w:style w:type="character" w:styleId="FontStyle26" w:customStyle="1">
    <w:name w:val="Font Style26"/>
    <w:basedOn w:val="a0"/>
    <w:rsid w:val="00DB55BA"/>
    <w:rPr>
      <w:rFonts w:ascii="Times New Roman" w:cs="Times New Roman" w:hAnsi="Times New Roman" w:hint="default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semiHidden w:val="1"/>
    <w:rsid w:val="00751A1E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ab" w:customStyle="1">
    <w:basedOn w:val="a"/>
    <w:next w:val="a6"/>
    <w:rsid w:val="00751A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c">
    <w:name w:val="header"/>
    <w:basedOn w:val="a"/>
    <w:link w:val="ad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cs="Times New Roman" w:eastAsia="Times New Roman" w:hAnsi="Antiqua"/>
      <w:sz w:val="28"/>
      <w:szCs w:val="20"/>
      <w:lang w:val="hr-HR"/>
    </w:rPr>
  </w:style>
  <w:style w:type="character" w:styleId="ad" w:customStyle="1">
    <w:name w:val="Верхний колонтитул Знак"/>
    <w:basedOn w:val="a0"/>
    <w:link w:val="ac"/>
    <w:uiPriority w:val="99"/>
    <w:rsid w:val="00751A1E"/>
    <w:rPr>
      <w:rFonts w:ascii="Antiqua" w:cs="Times New Roman" w:eastAsia="Times New Roman" w:hAnsi="Antiqua"/>
      <w:sz w:val="28"/>
      <w:szCs w:val="20"/>
      <w:lang w:val="hr-HR"/>
    </w:rPr>
  </w:style>
  <w:style w:type="paragraph" w:styleId="13" w:customStyle="1">
    <w:name w:val="Абзац списка1"/>
    <w:basedOn w:val="a"/>
    <w:rsid w:val="00785F10"/>
    <w:pPr>
      <w:suppressAutoHyphens w:val="1"/>
      <w:ind w:left="720"/>
    </w:pPr>
    <w:rPr>
      <w:rFonts w:ascii="Calibri" w:cs="Calibri" w:eastAsia="Times New Roman" w:hAnsi="Calibri"/>
      <w:lang w:eastAsia="zh-CN" w:val="ru-RU"/>
    </w:rPr>
  </w:style>
  <w:style w:type="character" w:styleId="10" w:customStyle="1">
    <w:name w:val="Заголовок 1 Знак"/>
    <w:basedOn w:val="a0"/>
    <w:link w:val="1"/>
    <w:uiPriority w:val="9"/>
    <w:rsid w:val="0005546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e">
    <w:name w:val="List Paragraph"/>
    <w:basedOn w:val="a"/>
    <w:uiPriority w:val="34"/>
    <w:qFormat w:val="1"/>
    <w:rsid w:val="000554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akon.rada.gov.ua/rada/show/3551-12#n92" TargetMode="External"/><Relationship Id="rId10" Type="http://schemas.openxmlformats.org/officeDocument/2006/relationships/hyperlink" Target="https://zakon.rada.gov.ua/rada/show/3551-12#n149" TargetMode="External"/><Relationship Id="rId13" Type="http://schemas.openxmlformats.org/officeDocument/2006/relationships/hyperlink" Target="https://zakon.rada.gov.ua/rada/show/3551-12#n92" TargetMode="External"/><Relationship Id="rId12" Type="http://schemas.openxmlformats.org/officeDocument/2006/relationships/hyperlink" Target="https://zakon.rada.gov.ua/rada/show/3551-12#n149" TargetMode="External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3551-12#n149" TargetMode="External"/><Relationship Id="rId15" Type="http://schemas.openxmlformats.org/officeDocument/2006/relationships/hyperlink" Target="https://zakon.rada.gov.ua/rada/show/3551-12#n92" TargetMode="External"/><Relationship Id="rId14" Type="http://schemas.openxmlformats.org/officeDocument/2006/relationships/hyperlink" Target="https://zakon.rada.gov.ua/rada/show/3551-12#n149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N22g0SUXWMr5u9oMa/5M5zknQ==">AMUW2mUCtDzMhswywgzrX4YdpKHrRi3oXru0vdFwdGxeqV1qB4jdgJEhtaKzCTaDwTUDDFGbp6Y7i0eMiLtfCL5whuz6WCM/28bQaoyehwa/oigfRAWbU6o=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2020-07-14T12:35:00Z</dcterms:created>
  <dc:creator>ZAG3</dc:creator>
</cp:coreProperties>
</file>