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60980" cy="91026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980" cy="91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ind w:left="382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Київському міському голові </w:t>
      </w:r>
    </w:p>
    <w:p w:rsidR="00000000" w:rsidDel="00000000" w:rsidP="00000000" w:rsidRDefault="00000000" w:rsidRPr="00000000" w14:paraId="0000000C">
      <w:pPr>
        <w:ind w:left="3828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Віталію КЛИЧКУ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82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Голові Державної інспекції архітектури та містобудування України  </w:t>
      </w:r>
    </w:p>
    <w:p w:rsidR="00000000" w:rsidDel="00000000" w:rsidP="00000000" w:rsidRDefault="00000000" w:rsidRPr="00000000" w14:paraId="0000000F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Семену КРИВОНОСУ</w:t>
      </w:r>
    </w:p>
    <w:p w:rsidR="00000000" w:rsidDel="00000000" w:rsidP="00000000" w:rsidRDefault="00000000" w:rsidRPr="00000000" w14:paraId="00000010">
      <w:pPr>
        <w:ind w:left="38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Міністру культури та інформаційної політики України  </w:t>
      </w:r>
    </w:p>
    <w:p w:rsidR="00000000" w:rsidDel="00000000" w:rsidP="00000000" w:rsidRDefault="00000000" w:rsidRPr="00000000" w14:paraId="00000012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Олександру ТКАЧЕНКУ</w:t>
      </w:r>
    </w:p>
    <w:p w:rsidR="00000000" w:rsidDel="00000000" w:rsidP="00000000" w:rsidRDefault="00000000" w:rsidRPr="00000000" w14:paraId="00000013">
      <w:pPr>
        <w:ind w:left="382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Департамент культури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15">
      <w:pPr>
        <w:ind w:left="3828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Яні БАРІНОВІЙ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8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828" w:firstLine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Директору Департаменту містобудування та архітектури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18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Олександру СВИСТУНОВУ</w:t>
      </w:r>
    </w:p>
    <w:p w:rsidR="00000000" w:rsidDel="00000000" w:rsidP="00000000" w:rsidRDefault="00000000" w:rsidRPr="00000000" w14:paraId="00000019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820"/>
        </w:tabs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820"/>
        </w:tabs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53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 і 13 Закону України «Про статус депутатів місцевих рад», Регламенту Київської міської ради, затвердженого рішенням Київської міської ради від 07.07.2016 №579/579 (зі змінами) звертаюсь з наступним.</w:t>
      </w:r>
    </w:p>
    <w:p w:rsidR="00000000" w:rsidDel="00000000" w:rsidP="00000000" w:rsidRDefault="00000000" w:rsidRPr="00000000" w14:paraId="00000021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особистому прийомі, до мене, як депутата Київської міської ради IX скликання, звернулись представники ініціативної групи із колективним зверненням від мешканців Святошинського району (додається), з проханням захистити їх права, щодо доступу до культурних цінностей, відповідно до Закону України «Про культуру».</w:t>
      </w:r>
    </w:p>
    <w:p w:rsidR="00000000" w:rsidDel="00000000" w:rsidP="00000000" w:rsidRDefault="00000000" w:rsidRPr="00000000" w14:paraId="00000022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Громада вкрай стурбована перспективою облаштування у частині приміщень бувшого будинку культури за адресою: просп. Перемоги, 112, літера А супермаркету АТБ (56-го у районі), у той час, коли інших будинків культури, у Святошинському районі міста Києва немає.</w:t>
      </w:r>
    </w:p>
    <w:p w:rsidR="00000000" w:rsidDel="00000000" w:rsidP="00000000" w:rsidRDefault="00000000" w:rsidRPr="00000000" w14:paraId="00000023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Зі слів представників ініціативної групи, зазначена ситуація виникла в наслідок неправомірної приватизації приміщень комунальної власності міста.</w:t>
      </w:r>
    </w:p>
    <w:p w:rsidR="00000000" w:rsidDel="00000000" w:rsidP="00000000" w:rsidRDefault="00000000" w:rsidRPr="00000000" w14:paraId="00000024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підставі викладеного, з метою захисту інтересів територіальної громади м. Києва, керуючись ст.ст. 2, 10, п. 1, 3 ч. 2 ст. 11 Закону України «Про статус депутатів місцевих рад», –</w:t>
      </w:r>
    </w:p>
    <w:p w:rsidR="00000000" w:rsidDel="00000000" w:rsidP="00000000" w:rsidRDefault="00000000" w:rsidRPr="00000000" w14:paraId="00000026">
      <w:pPr>
        <w:tabs>
          <w:tab w:val="left" w:pos="851"/>
        </w:tabs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before="120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spacing w:before="12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ab/>
        <w:t xml:space="preserve">Київського міського голову: 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</w:t>
        <w:tab/>
        <w:t xml:space="preserve">взяти під особистий контроль порушене у колективному зверненні питання та розглянути можливість повернення зазначених приміщень до комунальної власності.</w:t>
      </w:r>
    </w:p>
    <w:p w:rsidR="00000000" w:rsidDel="00000000" w:rsidP="00000000" w:rsidRDefault="00000000" w:rsidRPr="00000000" w14:paraId="0000002A">
      <w:pPr>
        <w:tabs>
          <w:tab w:val="left" w:pos="851"/>
        </w:tabs>
        <w:spacing w:before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Державну інспекцію архітектури та містобудування України: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</w:t>
        <w:tab/>
        <w:t xml:space="preserve">надати інформацію щодо наявності погодженої в установленому порядку дозвільної документації на будівництво супермаркету АТБ за адресою: </w:t>
        <w:br w:type="textWrapping"/>
        <w:t xml:space="preserve">просп. Перемоги, 112, літера А у Святошинському районі міста Києва.</w:t>
      </w:r>
    </w:p>
    <w:p w:rsidR="00000000" w:rsidDel="00000000" w:rsidP="00000000" w:rsidRDefault="00000000" w:rsidRPr="00000000" w14:paraId="0000002C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</w:t>
        <w:tab/>
        <w:t xml:space="preserve">у разі її наявності, провести перевірку на предмет відповідності зазначеної документації функціональному призначенню використання даного приміщення та земельної ділянки.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before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Міністерство культури та інформаційної політики України: </w:t>
      </w:r>
    </w:p>
    <w:p w:rsidR="00000000" w:rsidDel="00000000" w:rsidP="00000000" w:rsidRDefault="00000000" w:rsidRPr="00000000" w14:paraId="0000002E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</w:t>
        <w:tab/>
        <w:t xml:space="preserve">надати інформацію чи відбувалось виключення зазначеного закладу культури із базової мережі закладів культури місцевого рівня та чи погоджувалось зазначене питання із Міністерством.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line="276" w:lineRule="auto"/>
        <w:jc w:val="both"/>
        <w:rPr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1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Департамент культури виконавчого органу Київської міської ради (Київської міської державної адміністрації) – </w:t>
      </w:r>
    </w:p>
    <w:p w:rsidR="00000000" w:rsidDel="00000000" w:rsidP="00000000" w:rsidRDefault="00000000" w:rsidRPr="00000000" w14:paraId="00000031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</w:t>
        <w:tab/>
        <w:t xml:space="preserve">надати інформацію чи погоджувалось із Департаментом відчуження приміщень зазначеного закладу культури;</w:t>
      </w:r>
    </w:p>
    <w:p w:rsidR="00000000" w:rsidDel="00000000" w:rsidP="00000000" w:rsidRDefault="00000000" w:rsidRPr="00000000" w14:paraId="00000032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</w:t>
        <w:tab/>
        <w:t xml:space="preserve">надати інформацію про наявність у Святошинському районі іншого муніципального закладу культури.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line="276" w:lineRule="auto"/>
        <w:jc w:val="both"/>
        <w:rPr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51"/>
        </w:tabs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ab/>
        <w:t xml:space="preserve">Департаменту містобудування та архітектури виконавчого органу Київської міської ради (Київської міської державної адміністрації): </w:t>
      </w:r>
    </w:p>
    <w:p w:rsidR="00000000" w:rsidDel="00000000" w:rsidP="00000000" w:rsidRDefault="00000000" w:rsidRPr="00000000" w14:paraId="00000035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</w:t>
        <w:tab/>
        <w:t xml:space="preserve">чи відповідають містобудівні умови та обмеження від 16.12.2013 року </w:t>
        <w:br w:type="textWrapping"/>
        <w:t xml:space="preserve">№ 21450/0/12-3/009-13, видані для реконструкції нежитлових приміщень №1 та №№2,4 з №9 по №15 групи приміщень № 2 (в літ А) з надбудовою під заклад громадського харчування за адресою: просп. Перемоги, 112, літера А у Святошинському районі міста Києва, функціональному призначенню земельної ділянки.</w:t>
      </w:r>
    </w:p>
    <w:p w:rsidR="00000000" w:rsidDel="00000000" w:rsidP="00000000" w:rsidRDefault="00000000" w:rsidRPr="00000000" w14:paraId="00000036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Відповідь прошу надати у встановлені законодавством України строки </w:t>
      </w:r>
      <w:r w:rsidDel="00000000" w:rsidR="00000000" w:rsidRPr="00000000">
        <w:rPr>
          <w:sz w:val="28"/>
          <w:szCs w:val="28"/>
          <w:rtl w:val="0"/>
        </w:rPr>
        <w:t xml:space="preserve">за допомогою системи електронного документообігу «Аскод», а у разі неможливості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на електронну адресу </w:t>
      </w:r>
      <w:hyperlink r:id="rId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gromadskapt@gmail.com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або на поштову адресу: 04210, м. Київ, вул. Оболонська Набережна, 19, корпус 5.</w:t>
      </w:r>
    </w:p>
    <w:p w:rsidR="00000000" w:rsidDel="00000000" w:rsidP="00000000" w:rsidRDefault="00000000" w:rsidRPr="00000000" w14:paraId="00000038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Додаток: на 5 арк. в 1 прим.</w:t>
      </w:r>
    </w:p>
    <w:p w:rsidR="00000000" w:rsidDel="00000000" w:rsidP="00000000" w:rsidRDefault="00000000" w:rsidRPr="00000000" w14:paraId="0000003A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6663"/>
        </w:tabs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  <w:tab/>
        <w:t xml:space="preserve">Владислав ТРУБІЦИН</w:t>
      </w:r>
    </w:p>
    <w:p w:rsidR="00000000" w:rsidDel="00000000" w:rsidP="00000000" w:rsidRDefault="00000000" w:rsidRPr="00000000" w14:paraId="0000003D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6804"/>
        </w:tabs>
        <w:rPr>
          <w:sz w:val="22"/>
          <w:szCs w:val="22"/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6804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560" w:top="1134" w:left="1276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gromadska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