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727075</wp:posOffset>
            </wp:positionV>
            <wp:extent cx="630000" cy="867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86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Benguiat Rus" w:cs="Benguiat Rus" w:eastAsia="Benguiat Rus" w:hAnsi="Benguiat Rus"/>
          <w:smallCaps w:val="1"/>
          <w:color w:val="bf8f00"/>
          <w:sz w:val="72"/>
          <w:szCs w:val="72"/>
        </w:rPr>
      </w:pPr>
      <w:r w:rsidDel="00000000" w:rsidR="00000000" w:rsidRPr="00000000">
        <w:rPr>
          <w:rFonts w:ascii="Benguiat Rus" w:cs="Benguiat Rus" w:eastAsia="Benguiat Rus" w:hAnsi="Benguiat Rus"/>
          <w:smallCaps w:val="1"/>
          <w:color w:val="bf8f00"/>
          <w:sz w:val="72"/>
          <w:szCs w:val="72"/>
          <w:rtl w:val="0"/>
        </w:rPr>
        <w:t xml:space="preserve">ДЕПУТАТ</w:t>
      </w:r>
    </w:p>
    <w:p w:rsidR="00000000" w:rsidDel="00000000" w:rsidP="00000000" w:rsidRDefault="00000000" w:rsidRPr="00000000" w14:paraId="00000007">
      <w:pPr>
        <w:jc w:val="center"/>
        <w:rPr>
          <w:rFonts w:ascii="Benguiat Rus" w:cs="Benguiat Rus" w:eastAsia="Benguiat Rus" w:hAnsi="Benguiat Rus"/>
          <w:color w:val="bf8f00"/>
          <w:sz w:val="28"/>
          <w:szCs w:val="28"/>
        </w:rPr>
      </w:pP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КИ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ВСЬКО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 М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І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СЬКО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 РАДИ IX СКЛИКАННЯ</w:t>
      </w:r>
    </w:p>
    <w:p w:rsidR="00000000" w:rsidDel="00000000" w:rsidP="00000000" w:rsidRDefault="00000000" w:rsidRPr="00000000" w14:paraId="00000008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210300" cy="60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0850" y="3776825"/>
                          <a:ext cx="6210300" cy="6350"/>
                        </a:xfrm>
                        <a:prstGeom prst="straightConnector1">
                          <a:avLst/>
                        </a:prstGeom>
                        <a:noFill/>
                        <a:ln cap="flat" cmpd="thinThick" w="60325">
                          <a:solidFill>
                            <a:srgbClr val="0E267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210300" cy="60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ind w:right="107"/>
        <w:jc w:val="center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i w:val="1"/>
          <w:rtl w:val="0"/>
        </w:rPr>
        <w:t xml:space="preserve">«09» лютого 2022 року                                                                            № 08/279/09/222-__</w:t>
      </w:r>
    </w:p>
    <w:p w:rsidR="00000000" w:rsidDel="00000000" w:rsidP="00000000" w:rsidRDefault="00000000" w:rsidRPr="00000000" w14:paraId="0000000A">
      <w:pPr>
        <w:ind w:left="4956" w:firstLine="0"/>
        <w:rPr/>
      </w:pPr>
      <w:r w:rsidDel="00000000" w:rsidR="00000000" w:rsidRPr="00000000">
        <w:rPr>
          <w:rtl w:val="0"/>
        </w:rPr>
        <w:t xml:space="preserve">Голові Шевченківської районної в місті Києві</w:t>
      </w:r>
    </w:p>
    <w:p w:rsidR="00000000" w:rsidDel="00000000" w:rsidP="00000000" w:rsidRDefault="00000000" w:rsidRPr="00000000" w14:paraId="0000000B">
      <w:pPr>
        <w:ind w:left="4248" w:firstLine="708.0000000000001"/>
        <w:rPr/>
      </w:pPr>
      <w:r w:rsidDel="00000000" w:rsidR="00000000" w:rsidRPr="00000000">
        <w:rPr>
          <w:rtl w:val="0"/>
        </w:rPr>
        <w:t xml:space="preserve">державної адміністрації</w:t>
      </w:r>
    </w:p>
    <w:p w:rsidR="00000000" w:rsidDel="00000000" w:rsidP="00000000" w:rsidRDefault="00000000" w:rsidRPr="00000000" w14:paraId="0000000C">
      <w:pPr>
        <w:ind w:left="4248" w:firstLine="708.0000000000001"/>
        <w:rPr/>
      </w:pPr>
      <w:r w:rsidDel="00000000" w:rsidR="00000000" w:rsidRPr="00000000">
        <w:rPr>
          <w:rtl w:val="0"/>
        </w:rPr>
        <w:t xml:space="preserve">Гарязі О.О.</w:t>
      </w:r>
    </w:p>
    <w:p w:rsidR="00000000" w:rsidDel="00000000" w:rsidP="00000000" w:rsidRDefault="00000000" w:rsidRPr="00000000" w14:paraId="0000000D">
      <w:pPr>
        <w:ind w:left="4248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nstantia" w:cs="Constantia" w:eastAsia="Constantia" w:hAnsi="Constantia"/>
          <w:color w:val="bf8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11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Щодо забезпечення належного теплопостачання </w:t>
      </w:r>
    </w:p>
    <w:p w:rsidR="00000000" w:rsidDel="00000000" w:rsidP="00000000" w:rsidRDefault="00000000" w:rsidRPr="00000000" w14:paraId="0000001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квартир будинку 51-А по вул. Щербаківського Данила</w:t>
      </w:r>
    </w:p>
    <w:p w:rsidR="00000000" w:rsidDel="00000000" w:rsidP="00000000" w:rsidRDefault="00000000" w:rsidRPr="00000000" w14:paraId="00000013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Шановний Олеже Олександровичу!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До мене, як депутата Київської міської ради, звернулись мешканці Шевченківського району, які проживають у будинку 51-А по вулиці Щербаківського Данила в м. Києві щодо незадовільної якості послуги з централізованого опалення в їх квартирах, а також з питань роботи системи централізованого опалення.</w:t>
      </w:r>
    </w:p>
    <w:p w:rsidR="00000000" w:rsidDel="00000000" w:rsidP="00000000" w:rsidRDefault="00000000" w:rsidRPr="00000000" w14:paraId="00000018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З пояснень мешканців вбачається, що їм надаються послуги з централізованого опалення неналежної якості. Як наслідок, загальна температура в квартирах не відповідає встановленим стандартам надання послуг з централізованого опалення, зокрема, при зниженні температури повітря на вулиці до мінусових значень, в квартирах вона опускається нижче +14°C - +16°C. Самостійні звернення до постачальника тепла, Керуючої компанії з обслуговування житлового фонду Шевченківського району м. Києва стосовно перевірки якості послуг, комісійного обстеження та питання проведення перерахунків за неякісно надані послуги не дали бажаного результату - в квартирах мешканців й досі холодно, а рахунки до оплати при цьому їм виставляють в повному обсязі.</w:t>
      </w:r>
    </w:p>
    <w:p w:rsidR="00000000" w:rsidDel="00000000" w:rsidP="00000000" w:rsidRDefault="00000000" w:rsidRPr="00000000" w14:paraId="00000019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Відповідно до п.6 Правил надання послуг з централізованого опалення, постачання холодної та гарячої води і водовідведення затверджених постановою КМУ від 21.07.2005 №630 Послуги повинні відповідати, зокрема, з централізованого опалення - нормативній температурі повітря у приміщеннях квартири (будинку садибного типу) за умови їх утеплення споживачами та вжиття власником (балансоутримувачем) будинку та/або виконавцем заходів до утеплення місць загального користування будинку;</w:t>
      </w:r>
    </w:p>
    <w:p w:rsidR="00000000" w:rsidDel="00000000" w:rsidP="00000000" w:rsidRDefault="00000000" w:rsidRPr="00000000" w14:paraId="0000001A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Відтак, мешканці висловили своє велике занепокоєння щодо даної ситуації пов’язаною з бездіяльністю як з боку постачальника тепла, так і з боку Керуючої компанії з обслуговування житлового фонду Шевченківського району м. Києва, а також висловили прохання про допомогу у її вирішенні.</w:t>
      </w:r>
    </w:p>
    <w:p w:rsidR="00000000" w:rsidDel="00000000" w:rsidP="00000000" w:rsidRDefault="00000000" w:rsidRPr="00000000" w14:paraId="0000001B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З огляду на вищезазначене, керуючись ст. 13 Закону України «Про статус депутатів місцевих рад», -</w:t>
      </w:r>
    </w:p>
    <w:p w:rsidR="00000000" w:rsidDel="00000000" w:rsidP="00000000" w:rsidRDefault="00000000" w:rsidRPr="00000000" w14:paraId="0000001D">
      <w:pPr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1E">
      <w:pPr>
        <w:ind w:firstLine="70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Акт готовності будинку 51-А по вул. вулиці Щербаківського Данила в м. Києві до опалювального сезону 2021-2022р.р.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межах компетенції, перевірити викладену інформацію, з метою встановлення причини відсутності належного теплопостачання до квартир будинку 51-А по вул. вулиці Щербаківського Данила в м. Києві, провести комісійне обстеження даного будинку, зокрема, перевірку роботи внутрішньо-будинкової теплосистеми та обладнання, які відповідають за процес циркуляції в системі центрального опалення будинку.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Вжити заходів для забезпечення безперебійного належного теплопостачання квартир будинку 51-А по вул. вулиці Щербаківського Данила в м. Києві.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обстеження та заміри температурного режиму з складанням відповідних актів в квартирах будинку 51-А по вул. вулиці Щербаківського Данила в м. Києві, про що завчасно попередити мешканців будинку, з метою вирішення питання проведення перерахунків за неякісно надані послуги.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результати розгляду депутатського звернення та вжиті заходи повідомити мене у встановлений законодавством термін.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 повагою,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Депутат </w:t>
        <w:tab/>
        <w:tab/>
        <w:tab/>
        <w:tab/>
        <w:tab/>
        <w:tab/>
        <w:tab/>
        <w:tab/>
        <w:tab/>
        <w:tab/>
        <w:t xml:space="preserve">       Віталій Нестор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134" w:left="108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Benguiat R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