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-670559</wp:posOffset>
            </wp:positionH>
            <wp:positionV relativeFrom="paragraph">
              <wp:posOffset>-720089</wp:posOffset>
            </wp:positionV>
            <wp:extent cx="6967935" cy="1647031"/>
            <wp:effectExtent b="0" l="0" r="0" t="0"/>
            <wp:wrapNone/>
            <wp:docPr id="1" name="image1.png"/>
            <a:graphic>
              <a:graphicData uri="http://schemas.openxmlformats.org/drawingml/2006/picture">
                <pic:pic>
                  <pic:nvPicPr>
                    <pic:cNvPr id="0" name="image1.png"/>
                    <pic:cNvPicPr preferRelativeResize="0"/>
                  </pic:nvPicPr>
                  <pic:blipFill>
                    <a:blip r:embed="rId6"/>
                    <a:srcRect b="12736" l="0" r="0" t="0"/>
                    <a:stretch>
                      <a:fillRect/>
                    </a:stretch>
                  </pic:blipFill>
                  <pic:spPr>
                    <a:xfrm>
                      <a:off x="0" y="0"/>
                      <a:ext cx="6967935" cy="1647031"/>
                    </a:xfrm>
                    <a:prstGeom prst="rect"/>
                    <a:ln/>
                  </pic:spPr>
                </pic:pic>
              </a:graphicData>
            </a:graphic>
          </wp:anchor>
        </w:drawing>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20 вересня 2021 </w:t>
        <w:tab/>
        <w:tab/>
      </w:r>
      <w:r w:rsidDel="00000000" w:rsidR="00000000" w:rsidRPr="00000000">
        <w:rPr>
          <w:rFonts w:ascii="Times New Roman" w:cs="Times New Roman" w:eastAsia="Times New Roman" w:hAnsi="Times New Roman"/>
          <w:sz w:val="28"/>
          <w:szCs w:val="28"/>
          <w:rtl w:val="0"/>
        </w:rPr>
        <w:tab/>
        <w:tab/>
        <w:tab/>
        <w:t xml:space="preserve">            </w:t>
      </w:r>
      <w:r w:rsidDel="00000000" w:rsidR="00000000" w:rsidRPr="00000000">
        <w:rPr>
          <w:rFonts w:ascii="Times New Roman" w:cs="Times New Roman" w:eastAsia="Times New Roman" w:hAnsi="Times New Roman"/>
          <w:b w:val="1"/>
          <w:color w:val="000000"/>
          <w:sz w:val="28"/>
          <w:szCs w:val="28"/>
          <w:rtl w:val="0"/>
        </w:rPr>
        <w:t xml:space="preserve">№ 08/279/09/236-514 вих</w:t>
      </w:r>
    </w:p>
    <w:p w:rsidR="00000000" w:rsidDel="00000000" w:rsidP="00000000" w:rsidRDefault="00000000" w:rsidRPr="00000000" w14:paraId="00000006">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8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Голові Солом’янської районної в м. Києві державної адміністрації</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8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8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ЧЕЧОТЦІ</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8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Ірині Романівні</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щодо неналежного проведення</w:t>
      </w:r>
    </w:p>
    <w:p w:rsidR="00000000" w:rsidDel="00000000" w:rsidP="00000000" w:rsidRDefault="00000000" w:rsidRPr="00000000" w14:paraId="0000000F">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ремонту покрівлі в житловому будинку</w:t>
      </w:r>
    </w:p>
    <w:p w:rsidR="00000000" w:rsidDel="00000000" w:rsidP="00000000" w:rsidRDefault="00000000" w:rsidRPr="00000000" w14:paraId="0000001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 Програмою співфінансування (90/10)</w:t>
        <w:br w:type="textWrapping"/>
      </w:r>
    </w:p>
    <w:p w:rsidR="00000000" w:rsidDel="00000000" w:rsidP="00000000" w:rsidRDefault="00000000" w:rsidRPr="00000000" w14:paraId="00000011">
      <w:pPr>
        <w:spacing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депутатки Київської міської ради, звертаються зі скаргами мешканці </w:t>
      </w:r>
      <w:r w:rsidDel="00000000" w:rsidR="00000000" w:rsidRPr="00000000">
        <w:rPr>
          <w:rFonts w:ascii="Times New Roman" w:cs="Times New Roman" w:eastAsia="Times New Roman" w:hAnsi="Times New Roman"/>
          <w:color w:val="000000"/>
          <w:sz w:val="28"/>
          <w:szCs w:val="28"/>
          <w:rtl w:val="0"/>
        </w:rPr>
        <w:t xml:space="preserve">гуртожитку </w:t>
      </w:r>
      <w:r w:rsidDel="00000000" w:rsidR="00000000" w:rsidRPr="00000000">
        <w:rPr>
          <w:rFonts w:ascii="Times New Roman" w:cs="Times New Roman" w:eastAsia="Times New Roman" w:hAnsi="Times New Roman"/>
          <w:color w:val="000000"/>
          <w:sz w:val="28"/>
          <w:szCs w:val="28"/>
          <w:highlight w:val="white"/>
          <w:rtl w:val="0"/>
        </w:rPr>
        <w:t xml:space="preserve">по вул.Донецькій 26-а та вул.Солом'янській, 21,</w:t>
      </w:r>
      <w:r w:rsidDel="00000000" w:rsidR="00000000" w:rsidRPr="00000000">
        <w:rPr>
          <w:rFonts w:ascii="Courier New" w:cs="Courier New" w:eastAsia="Courier New" w:hAnsi="Courier New"/>
          <w:color w:val="000000"/>
          <w:sz w:val="18"/>
          <w:szCs w:val="18"/>
          <w:highlight w:val="white"/>
          <w:rtl w:val="0"/>
        </w:rPr>
        <w:t xml:space="preserve"> </w:t>
      </w:r>
      <w:r w:rsidDel="00000000" w:rsidR="00000000" w:rsidRPr="00000000">
        <w:rPr>
          <w:rFonts w:ascii="Times New Roman" w:cs="Times New Roman" w:eastAsia="Times New Roman" w:hAnsi="Times New Roman"/>
          <w:sz w:val="28"/>
          <w:szCs w:val="28"/>
          <w:rtl w:val="0"/>
        </w:rPr>
        <w:t xml:space="preserve">що у Солом’янському районі міста Києва, щодо неналежного виконання ремонту покрівлі даху в рамках програми співфінансування капітальних ремонтів спільного майна у багатоквартирних будинках міста Києва (90/10), далі - Програма.</w:t>
      </w:r>
    </w:p>
    <w:p w:rsidR="00000000" w:rsidDel="00000000" w:rsidP="00000000" w:rsidRDefault="00000000" w:rsidRPr="00000000" w14:paraId="00000012">
      <w:pPr>
        <w:spacing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Жителі скаржаться щодо порушення термінів виконання робіт - за умовами Програми до 31.08.2021 ремонт мав бути завершений, однак наразі ще не розпочатий. Несприятливі погодні умови завдають значного дискомфорту та збитків, мешканців стурбовані тим, що існує ймовірність зимувати без даху будинку.</w:t>
      </w:r>
    </w:p>
    <w:p w:rsidR="00000000" w:rsidDel="00000000" w:rsidP="00000000" w:rsidRDefault="00000000" w:rsidRPr="00000000" w14:paraId="00000013">
      <w:pPr>
        <w:spacing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Враховуючи вищенаведене та керуючись ст. 13 Закону України “Про статус депутатів місцевих рад”,</w:t>
      </w:r>
    </w:p>
    <w:p w:rsidR="00000000" w:rsidDel="00000000" w:rsidP="00000000" w:rsidRDefault="00000000" w:rsidRPr="00000000" w14:paraId="00000014">
      <w:pPr>
        <w:spacing w:line="276" w:lineRule="auto"/>
        <w:ind w:firstLine="708"/>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 р о ш у:</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58" w:right="0" w:hanging="39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Невідкладно вжити заходів щодо проведення ремонту покрівлі у будинках по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вул.Донецькій 26-а та вул.Солом'янській, 21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у Солом’янському районі міста Києва.</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58" w:right="0" w:hanging="39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підстави порушення передбачених раніше термінів проведення ремонтних робіт.</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58" w:right="0" w:hanging="39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копії відповідних підтверджуючих документів щодо проведення ремонту покрівлі за вищезазначеною адресою, а також підтвердження підстав порушення раніше запланованих термінів проведення робіт.</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58" w:right="0" w:hanging="390"/>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щодо кількості запланованих капітальних ремонтів даху в рамках програми співфінансування капітальних ремонтів спільного майна у багатоквартирних будинках міста Києва (90/10) у Солом'янському районі м.Києва на 2021 рік, а також інформацію щодо вже завершених капітальних ремонтів даху у 2021 році за даною Програмою із вказівкою термінів завершення тих ремонтів, які заплановано або тривають.</w:t>
      </w:r>
    </w:p>
    <w:p w:rsidR="00000000" w:rsidDel="00000000" w:rsidP="00000000" w:rsidRDefault="00000000" w:rsidRPr="00000000" w14:paraId="00000019">
      <w:pPr>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3" w:firstLine="568"/>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звернення прошу повідомити мене у визначений законом термін шляхом надсилання листа на електронну пошту: </w:t>
      </w:r>
      <w:hyperlink r:id="rId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semenova.kseniia@kmr.gov.ua</w:t>
        </w:r>
      </w:hyperlink>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З повагою, </w:t>
      </w: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депутат Київської міської ради                                               Ксенія СЕМЕНОВА</w:t>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58" w:hanging="390"/>
      </w:pPr>
      <w:rPr>
        <w:color w:val="000000"/>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menova.kseniia@k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