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5D" w:rsidRPr="00332ECB" w:rsidRDefault="0087535D" w:rsidP="00733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ECB">
        <w:rPr>
          <w:rFonts w:ascii="Times New Roman" w:hAnsi="Times New Roman"/>
          <w:b/>
          <w:sz w:val="28"/>
          <w:szCs w:val="28"/>
        </w:rPr>
        <w:t>ПРОГНОЗ ВПЛИВУ</w:t>
      </w:r>
    </w:p>
    <w:p w:rsidR="0087535D" w:rsidRPr="00332ECB" w:rsidRDefault="0087535D" w:rsidP="006D297C">
      <w:pPr>
        <w:pStyle w:val="a5"/>
        <w:spacing w:after="0"/>
        <w:jc w:val="center"/>
        <w:rPr>
          <w:b/>
          <w:sz w:val="28"/>
          <w:szCs w:val="28"/>
          <w:lang w:val="uk-UA"/>
        </w:rPr>
      </w:pPr>
      <w:r w:rsidRPr="00332ECB">
        <w:rPr>
          <w:b/>
          <w:sz w:val="28"/>
          <w:szCs w:val="28"/>
          <w:lang w:val="uk-UA"/>
        </w:rPr>
        <w:t xml:space="preserve">реалізації проекту </w:t>
      </w:r>
      <w:r w:rsidR="006D297C" w:rsidRPr="00332ECB">
        <w:rPr>
          <w:b/>
          <w:sz w:val="28"/>
          <w:szCs w:val="28"/>
          <w:lang w:val="uk-UA"/>
        </w:rPr>
        <w:t>постанови Кабінету Міністрів України</w:t>
      </w:r>
      <w:r w:rsidR="006D297C" w:rsidRPr="00332ECB">
        <w:rPr>
          <w:b/>
          <w:sz w:val="28"/>
          <w:szCs w:val="28"/>
          <w:lang w:val="uk-UA"/>
        </w:rPr>
        <w:t xml:space="preserve"> «</w:t>
      </w:r>
      <w:r w:rsidR="006D297C" w:rsidRPr="00332ECB">
        <w:rPr>
          <w:b/>
          <w:sz w:val="28"/>
          <w:szCs w:val="28"/>
          <w:lang w:val="uk-UA"/>
        </w:rPr>
        <w:t xml:space="preserve">Про внесення змін до постанови Кабінету Міністрів Українивід 25 березня 2020 р. № ______ </w:t>
      </w:r>
      <w:r w:rsidR="006D297C" w:rsidRPr="00332ECB">
        <w:rPr>
          <w:b/>
          <w:sz w:val="28"/>
          <w:szCs w:val="28"/>
          <w:lang w:val="uk-UA"/>
        </w:rPr>
        <w:t xml:space="preserve"> </w:t>
      </w:r>
      <w:r w:rsidR="006D297C" w:rsidRPr="00332ECB">
        <w:rPr>
          <w:b/>
          <w:sz w:val="28"/>
          <w:szCs w:val="28"/>
          <w:lang w:val="uk-UA"/>
        </w:rPr>
        <w:t>«Про особливості надання житлових субсидій»</w:t>
      </w:r>
      <w:r w:rsidR="006D297C" w:rsidRPr="00332ECB">
        <w:rPr>
          <w:b/>
          <w:sz w:val="28"/>
          <w:szCs w:val="28"/>
          <w:lang w:val="uk-UA"/>
        </w:rPr>
        <w:t xml:space="preserve"> </w:t>
      </w:r>
      <w:r w:rsidRPr="00332ECB">
        <w:rPr>
          <w:b/>
          <w:sz w:val="28"/>
          <w:szCs w:val="28"/>
          <w:lang w:val="uk-UA"/>
        </w:rPr>
        <w:t>на ключові інтереси заінтересованих сторін</w:t>
      </w:r>
    </w:p>
    <w:p w:rsidR="0087535D" w:rsidRPr="00332ECB" w:rsidRDefault="0087535D" w:rsidP="00733609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332ECB">
        <w:rPr>
          <w:b/>
          <w:sz w:val="28"/>
          <w:szCs w:val="28"/>
          <w:lang w:val="uk-UA"/>
        </w:rPr>
        <w:t>1. Суть проекту акта</w:t>
      </w:r>
    </w:p>
    <w:p w:rsidR="006D297C" w:rsidRPr="00332ECB" w:rsidRDefault="006D297C" w:rsidP="006D297C">
      <w:pPr>
        <w:pStyle w:val="Bodytext20"/>
        <w:shd w:val="clear" w:color="auto" w:fill="auto"/>
        <w:spacing w:before="0" w:after="0" w:line="240" w:lineRule="auto"/>
        <w:ind w:firstLine="640"/>
        <w:rPr>
          <w:sz w:val="28"/>
          <w:szCs w:val="28"/>
          <w:lang w:val="uk-UA"/>
        </w:rPr>
      </w:pPr>
      <w:r w:rsidRPr="00332ECB">
        <w:rPr>
          <w:color w:val="000000"/>
          <w:sz w:val="28"/>
          <w:szCs w:val="28"/>
          <w:lang w:val="uk-UA" w:eastAsia="uk-UA" w:bidi="uk-UA"/>
        </w:rPr>
        <w:t xml:space="preserve">Проектом акта передбачається </w:t>
      </w:r>
      <w:r w:rsidRPr="00332ECB">
        <w:rPr>
          <w:sz w:val="28"/>
          <w:szCs w:val="28"/>
          <w:lang w:val="uk-UA"/>
        </w:rPr>
        <w:t>забезпечити поширення</w:t>
      </w:r>
      <w:r w:rsidRPr="00332ECB">
        <w:rPr>
          <w:color w:val="000000"/>
          <w:sz w:val="28"/>
          <w:szCs w:val="28"/>
          <w:lang w:val="uk-UA" w:eastAsia="uk-UA" w:bidi="uk-UA"/>
        </w:rPr>
        <w:t xml:space="preserve"> додатков</w:t>
      </w:r>
      <w:r w:rsidRPr="00332ECB">
        <w:rPr>
          <w:sz w:val="28"/>
          <w:szCs w:val="28"/>
          <w:lang w:val="uk-UA"/>
        </w:rPr>
        <w:t>ої</w:t>
      </w:r>
      <w:r w:rsidRPr="00332ECB">
        <w:rPr>
          <w:color w:val="000000"/>
          <w:sz w:val="28"/>
          <w:szCs w:val="28"/>
          <w:lang w:val="uk-UA" w:eastAsia="uk-UA" w:bidi="uk-UA"/>
        </w:rPr>
        <w:t xml:space="preserve"> компенсаці</w:t>
      </w:r>
      <w:r w:rsidRPr="00332ECB">
        <w:rPr>
          <w:sz w:val="28"/>
          <w:szCs w:val="28"/>
          <w:lang w:val="uk-UA"/>
        </w:rPr>
        <w:t>ї</w:t>
      </w:r>
      <w:r w:rsidRPr="00332ECB">
        <w:rPr>
          <w:color w:val="000000"/>
          <w:sz w:val="28"/>
          <w:szCs w:val="28"/>
          <w:lang w:val="uk-UA" w:eastAsia="uk-UA" w:bidi="uk-UA"/>
        </w:rPr>
        <w:t xml:space="preserve"> витрат на оплату комунальних послуг одержувачам житлових субсидій на період карантину шляхом збільшення на 50 відсотків соціальних нормативів користування </w:t>
      </w:r>
      <w:r w:rsidRPr="00332ECB">
        <w:rPr>
          <w:sz w:val="28"/>
          <w:szCs w:val="28"/>
          <w:lang w:val="uk-UA"/>
        </w:rPr>
        <w:t>на всі житлово-комунальні послуги, встановлені</w:t>
      </w:r>
      <w:r w:rsidRPr="00332ECB">
        <w:rPr>
          <w:color w:val="000000"/>
          <w:sz w:val="28"/>
          <w:szCs w:val="28"/>
          <w:lang w:val="uk-UA" w:eastAsia="uk-UA" w:bidi="uk-UA"/>
        </w:rPr>
        <w:t xml:space="preserve"> пункт</w:t>
      </w:r>
      <w:r w:rsidRPr="00332ECB">
        <w:rPr>
          <w:sz w:val="28"/>
          <w:szCs w:val="28"/>
          <w:lang w:val="uk-UA"/>
        </w:rPr>
        <w:t>ом</w:t>
      </w:r>
      <w:r w:rsidRPr="00332ECB">
        <w:rPr>
          <w:color w:val="000000"/>
          <w:sz w:val="28"/>
          <w:szCs w:val="28"/>
          <w:lang w:val="uk-UA" w:eastAsia="uk-UA" w:bidi="uk-UA"/>
        </w:rPr>
        <w:t xml:space="preserve"> 3 постанови Кабінету Міністрів України від 6 серпня 2014 року № 409 „Про встановлення державних соціальних стандартів у сфері житлово-комунального обслуговування”</w:t>
      </w:r>
      <w:r w:rsidRPr="00332ECB">
        <w:rPr>
          <w:sz w:val="28"/>
          <w:szCs w:val="28"/>
          <w:lang w:val="uk-UA"/>
        </w:rPr>
        <w:t>, а також забезпечити використання наданої субсидії виключно за призначенням на оплату відповідних житлово-комунальних послуг.</w:t>
      </w:r>
    </w:p>
    <w:p w:rsidR="0087535D" w:rsidRPr="00332ECB" w:rsidRDefault="0087535D" w:rsidP="00DC1AC8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332ECB">
        <w:rPr>
          <w:b/>
          <w:sz w:val="28"/>
          <w:szCs w:val="28"/>
          <w:lang w:val="uk-UA"/>
        </w:rPr>
        <w:t>2. Вплив на ключові інтереси усіх заінтересованих сторін</w:t>
      </w:r>
    </w:p>
    <w:p w:rsidR="0087535D" w:rsidRPr="00332ECB" w:rsidRDefault="0087535D" w:rsidP="00DC1AC8">
      <w:pPr>
        <w:pStyle w:val="a5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26"/>
        <w:gridCol w:w="2717"/>
        <w:gridCol w:w="2568"/>
        <w:gridCol w:w="3016"/>
        <w:gridCol w:w="5008"/>
      </w:tblGrid>
      <w:tr w:rsidR="00EA7A82" w:rsidRPr="00332ECB" w:rsidTr="000F573A">
        <w:trPr>
          <w:trHeight w:val="524"/>
        </w:trPr>
        <w:tc>
          <w:tcPr>
            <w:tcW w:w="1826" w:type="dxa"/>
            <w:vMerge w:val="restart"/>
          </w:tcPr>
          <w:p w:rsidR="0087535D" w:rsidRPr="00332ECB" w:rsidRDefault="0087535D" w:rsidP="007E4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2ECB">
              <w:rPr>
                <w:rFonts w:ascii="Times New Roman" w:hAnsi="Times New Roman"/>
                <w:b/>
                <w:sz w:val="26"/>
                <w:szCs w:val="26"/>
              </w:rPr>
              <w:t>Заінтересована сторона</w:t>
            </w:r>
          </w:p>
        </w:tc>
        <w:tc>
          <w:tcPr>
            <w:tcW w:w="2717" w:type="dxa"/>
            <w:vMerge w:val="restart"/>
          </w:tcPr>
          <w:p w:rsidR="0087535D" w:rsidRPr="00332ECB" w:rsidRDefault="0087535D" w:rsidP="007E4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2ECB">
              <w:rPr>
                <w:rFonts w:ascii="Times New Roman" w:hAnsi="Times New Roman"/>
                <w:b/>
                <w:sz w:val="26"/>
                <w:szCs w:val="26"/>
              </w:rPr>
              <w:t xml:space="preserve">Ключовий </w:t>
            </w:r>
          </w:p>
          <w:p w:rsidR="0087535D" w:rsidRPr="00332ECB" w:rsidRDefault="006D297C" w:rsidP="007E4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2ECB">
              <w:rPr>
                <w:rFonts w:ascii="Times New Roman" w:hAnsi="Times New Roman"/>
                <w:b/>
                <w:sz w:val="26"/>
                <w:szCs w:val="26"/>
              </w:rPr>
              <w:t>і</w:t>
            </w:r>
            <w:r w:rsidR="0087535D" w:rsidRPr="00332ECB">
              <w:rPr>
                <w:rFonts w:ascii="Times New Roman" w:hAnsi="Times New Roman"/>
                <w:b/>
                <w:sz w:val="26"/>
                <w:szCs w:val="26"/>
              </w:rPr>
              <w:t>нтерес</w:t>
            </w:r>
          </w:p>
        </w:tc>
        <w:tc>
          <w:tcPr>
            <w:tcW w:w="5584" w:type="dxa"/>
            <w:gridSpan w:val="2"/>
          </w:tcPr>
          <w:p w:rsidR="0087535D" w:rsidRPr="00332ECB" w:rsidRDefault="0087535D" w:rsidP="007E4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2ECB">
              <w:rPr>
                <w:rFonts w:ascii="Times New Roman" w:hAnsi="Times New Roman"/>
                <w:b/>
                <w:sz w:val="26"/>
                <w:szCs w:val="26"/>
              </w:rPr>
              <w:t xml:space="preserve">Очікуваний (позитивний чи негативний) вплив на ключовий інтерес із зазначенням передбачуваної динаміки змін основних показників </w:t>
            </w:r>
          </w:p>
          <w:p w:rsidR="0087535D" w:rsidRPr="00332ECB" w:rsidRDefault="0087535D" w:rsidP="007E4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2ECB">
              <w:rPr>
                <w:rFonts w:ascii="Times New Roman" w:hAnsi="Times New Roman"/>
                <w:b/>
                <w:sz w:val="26"/>
                <w:szCs w:val="26"/>
              </w:rPr>
              <w:t>(у числовому або якісному вимірі)</w:t>
            </w:r>
          </w:p>
        </w:tc>
        <w:tc>
          <w:tcPr>
            <w:tcW w:w="5008" w:type="dxa"/>
            <w:vMerge w:val="restart"/>
          </w:tcPr>
          <w:p w:rsidR="0087535D" w:rsidRPr="00332ECB" w:rsidRDefault="0087535D" w:rsidP="007E4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2ECB">
              <w:rPr>
                <w:rFonts w:ascii="Times New Roman" w:hAnsi="Times New Roman"/>
                <w:b/>
                <w:sz w:val="26"/>
                <w:szCs w:val="26"/>
              </w:rPr>
              <w:t xml:space="preserve">Пояснення (чому </w:t>
            </w:r>
          </w:p>
          <w:p w:rsidR="0087535D" w:rsidRPr="00332ECB" w:rsidRDefault="0087535D" w:rsidP="007E4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2ECB">
              <w:rPr>
                <w:rFonts w:ascii="Times New Roman" w:hAnsi="Times New Roman"/>
                <w:b/>
                <w:sz w:val="26"/>
                <w:szCs w:val="26"/>
              </w:rPr>
              <w:t>саме реалізація акта призведе до очікуваного впливу)</w:t>
            </w:r>
          </w:p>
        </w:tc>
      </w:tr>
      <w:tr w:rsidR="00EA7A82" w:rsidRPr="00332ECB" w:rsidTr="000F573A">
        <w:trPr>
          <w:trHeight w:val="434"/>
        </w:trPr>
        <w:tc>
          <w:tcPr>
            <w:tcW w:w="1826" w:type="dxa"/>
            <w:vMerge/>
          </w:tcPr>
          <w:p w:rsidR="0087535D" w:rsidRPr="00332ECB" w:rsidRDefault="0087535D" w:rsidP="007E4A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7" w:type="dxa"/>
            <w:vMerge/>
          </w:tcPr>
          <w:p w:rsidR="0087535D" w:rsidRPr="00332ECB" w:rsidRDefault="0087535D" w:rsidP="007E4A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8" w:type="dxa"/>
          </w:tcPr>
          <w:p w:rsidR="0087535D" w:rsidRPr="00332ECB" w:rsidRDefault="0087535D" w:rsidP="007E4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2ECB">
              <w:rPr>
                <w:rFonts w:ascii="Times New Roman" w:hAnsi="Times New Roman"/>
                <w:b/>
                <w:sz w:val="26"/>
                <w:szCs w:val="26"/>
              </w:rPr>
              <w:t>короткостроковий</w:t>
            </w:r>
          </w:p>
          <w:p w:rsidR="0087535D" w:rsidRPr="00332ECB" w:rsidRDefault="0087535D" w:rsidP="007E4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2ECB">
              <w:rPr>
                <w:rFonts w:ascii="Times New Roman" w:hAnsi="Times New Roman"/>
                <w:b/>
                <w:sz w:val="26"/>
                <w:szCs w:val="26"/>
              </w:rPr>
              <w:t>вплив (до року)</w:t>
            </w:r>
          </w:p>
        </w:tc>
        <w:tc>
          <w:tcPr>
            <w:tcW w:w="3016" w:type="dxa"/>
          </w:tcPr>
          <w:p w:rsidR="0087535D" w:rsidRPr="00332ECB" w:rsidRDefault="0087535D" w:rsidP="007E4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2ECB">
              <w:rPr>
                <w:rFonts w:ascii="Times New Roman" w:hAnsi="Times New Roman"/>
                <w:b/>
                <w:sz w:val="26"/>
                <w:szCs w:val="26"/>
              </w:rPr>
              <w:t>середньостроковий</w:t>
            </w:r>
          </w:p>
          <w:p w:rsidR="0087535D" w:rsidRPr="00332ECB" w:rsidRDefault="0087535D" w:rsidP="007E4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2ECB">
              <w:rPr>
                <w:rFonts w:ascii="Times New Roman" w:hAnsi="Times New Roman"/>
                <w:b/>
                <w:sz w:val="26"/>
                <w:szCs w:val="26"/>
              </w:rPr>
              <w:t>вплив (більше року)</w:t>
            </w:r>
          </w:p>
        </w:tc>
        <w:tc>
          <w:tcPr>
            <w:tcW w:w="5008" w:type="dxa"/>
            <w:vMerge/>
          </w:tcPr>
          <w:p w:rsidR="0087535D" w:rsidRPr="00332ECB" w:rsidRDefault="0087535D" w:rsidP="007E4A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A82" w:rsidRPr="00332ECB" w:rsidTr="000F573A">
        <w:trPr>
          <w:trHeight w:val="144"/>
        </w:trPr>
        <w:tc>
          <w:tcPr>
            <w:tcW w:w="1826" w:type="dxa"/>
          </w:tcPr>
          <w:p w:rsidR="0087535D" w:rsidRPr="00332ECB" w:rsidRDefault="0087535D" w:rsidP="007E4AD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32ECB">
              <w:rPr>
                <w:rFonts w:ascii="Times New Roman" w:hAnsi="Times New Roman"/>
                <w:color w:val="000000"/>
                <w:sz w:val="25"/>
                <w:szCs w:val="25"/>
              </w:rPr>
              <w:t>Держава</w:t>
            </w:r>
          </w:p>
        </w:tc>
        <w:tc>
          <w:tcPr>
            <w:tcW w:w="2717" w:type="dxa"/>
          </w:tcPr>
          <w:p w:rsidR="0087535D" w:rsidRPr="00332ECB" w:rsidRDefault="00D57FA8" w:rsidP="00D57FA8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32ECB">
              <w:rPr>
                <w:rFonts w:ascii="Times New Roman" w:hAnsi="Times New Roman"/>
                <w:sz w:val="25"/>
                <w:szCs w:val="25"/>
              </w:rPr>
              <w:t xml:space="preserve">Попередження аварій, недопущення </w:t>
            </w:r>
            <w:r w:rsidR="001A18EE" w:rsidRPr="00332ECB">
              <w:rPr>
                <w:rFonts w:ascii="Times New Roman" w:hAnsi="Times New Roman"/>
                <w:sz w:val="25"/>
                <w:szCs w:val="25"/>
              </w:rPr>
              <w:t xml:space="preserve">настання </w:t>
            </w:r>
            <w:r w:rsidRPr="00332ECB">
              <w:rPr>
                <w:rFonts w:ascii="Times New Roman" w:hAnsi="Times New Roman"/>
                <w:sz w:val="25"/>
                <w:szCs w:val="25"/>
              </w:rPr>
              <w:t>сприятливих для поширення хвороб умов, уникнення критичного розміру заборгованості населення</w:t>
            </w:r>
            <w:r w:rsidR="00F97D84" w:rsidRPr="00332ECB">
              <w:rPr>
                <w:rFonts w:ascii="Times New Roman" w:hAnsi="Times New Roman"/>
                <w:sz w:val="25"/>
                <w:szCs w:val="25"/>
              </w:rPr>
              <w:t>, збереження частини економіки</w:t>
            </w:r>
          </w:p>
        </w:tc>
        <w:tc>
          <w:tcPr>
            <w:tcW w:w="2568" w:type="dxa"/>
          </w:tcPr>
          <w:p w:rsidR="0087535D" w:rsidRPr="00332ECB" w:rsidRDefault="00CD4362" w:rsidP="00E4439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32ECB">
              <w:rPr>
                <w:rFonts w:ascii="Times New Roman" w:hAnsi="Times New Roman"/>
                <w:sz w:val="25"/>
                <w:szCs w:val="25"/>
              </w:rPr>
              <w:t>За рахунок збільшення надходжень з оплати ЖКП до певного мінімально необхідного рівня   п</w:t>
            </w:r>
            <w:r w:rsidR="00D57FA8" w:rsidRPr="00332ECB">
              <w:rPr>
                <w:rFonts w:ascii="Times New Roman" w:hAnsi="Times New Roman"/>
                <w:sz w:val="25"/>
                <w:szCs w:val="25"/>
              </w:rPr>
              <w:t>одовження</w:t>
            </w:r>
            <w:r w:rsidR="001A18EE" w:rsidRPr="00332ECB">
              <w:rPr>
                <w:rFonts w:ascii="Times New Roman" w:hAnsi="Times New Roman"/>
                <w:sz w:val="25"/>
                <w:szCs w:val="25"/>
              </w:rPr>
              <w:t xml:space="preserve"> строків</w:t>
            </w:r>
            <w:r w:rsidR="00D57FA8" w:rsidRPr="00332EC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E44392" w:rsidRPr="00332ECB">
              <w:rPr>
                <w:rFonts w:ascii="Times New Roman" w:hAnsi="Times New Roman"/>
                <w:sz w:val="25"/>
                <w:szCs w:val="25"/>
              </w:rPr>
              <w:t xml:space="preserve">утримання критично важливих елементів інфраструктури </w:t>
            </w:r>
            <w:r w:rsidR="00D57FA8" w:rsidRPr="00332ECB">
              <w:rPr>
                <w:rFonts w:ascii="Times New Roman" w:hAnsi="Times New Roman"/>
                <w:sz w:val="25"/>
                <w:szCs w:val="25"/>
              </w:rPr>
              <w:t>підприємств</w:t>
            </w:r>
            <w:r w:rsidR="00E44392" w:rsidRPr="00332ECB">
              <w:rPr>
                <w:rFonts w:ascii="Times New Roman" w:hAnsi="Times New Roman"/>
                <w:sz w:val="25"/>
                <w:szCs w:val="25"/>
              </w:rPr>
              <w:t>ами</w:t>
            </w:r>
            <w:r w:rsidR="00D57FA8" w:rsidRPr="00332ECB">
              <w:rPr>
                <w:rFonts w:ascii="Times New Roman" w:hAnsi="Times New Roman"/>
                <w:sz w:val="25"/>
                <w:szCs w:val="25"/>
              </w:rPr>
              <w:t xml:space="preserve"> житлово-</w:t>
            </w:r>
            <w:r w:rsidR="00D57FA8" w:rsidRPr="00332ECB">
              <w:rPr>
                <w:rFonts w:ascii="Times New Roman" w:hAnsi="Times New Roman"/>
                <w:sz w:val="25"/>
                <w:szCs w:val="25"/>
              </w:rPr>
              <w:lastRenderedPageBreak/>
              <w:t>комунального господарства</w:t>
            </w:r>
            <w:r w:rsidR="00E44392" w:rsidRPr="00332ECB">
              <w:rPr>
                <w:rFonts w:ascii="Times New Roman" w:hAnsi="Times New Roman"/>
                <w:sz w:val="25"/>
                <w:szCs w:val="25"/>
              </w:rPr>
              <w:t xml:space="preserve"> в умовах карантину</w:t>
            </w:r>
            <w:r w:rsidRPr="00332ECB">
              <w:rPr>
                <w:rFonts w:ascii="Times New Roman" w:hAnsi="Times New Roman"/>
                <w:sz w:val="25"/>
                <w:szCs w:val="25"/>
              </w:rPr>
              <w:t>.</w:t>
            </w:r>
            <w:r w:rsidR="00AC7D75" w:rsidRPr="00332ECB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3016" w:type="dxa"/>
          </w:tcPr>
          <w:p w:rsidR="0087535D" w:rsidRPr="00332ECB" w:rsidRDefault="00F97D84" w:rsidP="00CD436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32ECB">
              <w:rPr>
                <w:rFonts w:ascii="Times New Roman" w:hAnsi="Times New Roman"/>
                <w:sz w:val="25"/>
                <w:szCs w:val="25"/>
              </w:rPr>
              <w:lastRenderedPageBreak/>
              <w:t>Проходження карантинного періоду з  п</w:t>
            </w:r>
            <w:r w:rsidR="00936C5E" w:rsidRPr="00332ECB">
              <w:rPr>
                <w:rFonts w:ascii="Times New Roman" w:hAnsi="Times New Roman"/>
                <w:sz w:val="25"/>
                <w:szCs w:val="25"/>
              </w:rPr>
              <w:t>оступов</w:t>
            </w:r>
            <w:r w:rsidRPr="00332ECB">
              <w:rPr>
                <w:rFonts w:ascii="Times New Roman" w:hAnsi="Times New Roman"/>
                <w:sz w:val="25"/>
                <w:szCs w:val="25"/>
              </w:rPr>
              <w:t xml:space="preserve">им відновленням </w:t>
            </w:r>
            <w:r w:rsidR="00CD4362" w:rsidRPr="00332ECB">
              <w:rPr>
                <w:rFonts w:ascii="Times New Roman" w:hAnsi="Times New Roman"/>
                <w:sz w:val="25"/>
                <w:szCs w:val="25"/>
              </w:rPr>
              <w:t>економіки, без необхідності ліквідації наслідків масових аварій та відновлювати відмерлу частину ринку</w:t>
            </w:r>
          </w:p>
        </w:tc>
        <w:tc>
          <w:tcPr>
            <w:tcW w:w="5008" w:type="dxa"/>
          </w:tcPr>
          <w:p w:rsidR="0087535D" w:rsidRPr="00332ECB" w:rsidRDefault="0087535D" w:rsidP="00FB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32ECB">
              <w:rPr>
                <w:rFonts w:ascii="Times New Roman" w:hAnsi="Times New Roman"/>
                <w:sz w:val="25"/>
                <w:szCs w:val="25"/>
              </w:rPr>
              <w:t xml:space="preserve">Реалізація акта </w:t>
            </w:r>
            <w:r w:rsidR="00D57FA8" w:rsidRPr="00332ECB">
              <w:rPr>
                <w:rFonts w:ascii="Times New Roman" w:hAnsi="Times New Roman"/>
                <w:sz w:val="25"/>
                <w:szCs w:val="25"/>
              </w:rPr>
              <w:t xml:space="preserve">дозволить </w:t>
            </w:r>
            <w:r w:rsidR="00362614" w:rsidRPr="00332ECB">
              <w:rPr>
                <w:rFonts w:ascii="Times New Roman" w:hAnsi="Times New Roman"/>
                <w:sz w:val="25"/>
                <w:szCs w:val="25"/>
              </w:rPr>
              <w:t>продовжити функціонування</w:t>
            </w:r>
            <w:r w:rsidR="00D57FA8" w:rsidRPr="00332ECB">
              <w:rPr>
                <w:rFonts w:ascii="Times New Roman" w:hAnsi="Times New Roman"/>
                <w:sz w:val="25"/>
                <w:szCs w:val="25"/>
              </w:rPr>
              <w:t xml:space="preserve"> підприємствам житлово-комунального господарства, які внаслідок катастрофічного зниження надходжень платежів від населення і обмежувальних заходів</w:t>
            </w:r>
            <w:r w:rsidR="00D57FA8" w:rsidRPr="00332ECB">
              <w:rPr>
                <w:rFonts w:ascii="Times New Roman" w:hAnsi="Times New Roman"/>
                <w:sz w:val="25"/>
                <w:szCs w:val="25"/>
              </w:rPr>
              <w:t>, пов’язаних із поширенням</w:t>
            </w:r>
            <w:r w:rsidR="00362614" w:rsidRPr="00332EC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D57FA8" w:rsidRPr="00332ECB">
              <w:rPr>
                <w:rFonts w:ascii="Times New Roman" w:hAnsi="Times New Roman"/>
                <w:sz w:val="25"/>
                <w:szCs w:val="25"/>
              </w:rPr>
              <w:t>коронавірусної хвороби (COVID-19)</w:t>
            </w:r>
            <w:r w:rsidR="00D57FA8" w:rsidRPr="00332ECB">
              <w:rPr>
                <w:rFonts w:ascii="Times New Roman" w:hAnsi="Times New Roman"/>
                <w:sz w:val="25"/>
                <w:szCs w:val="25"/>
              </w:rPr>
              <w:t>,</w:t>
            </w:r>
            <w:r w:rsidR="00D10BDC" w:rsidRPr="00332ECB">
              <w:rPr>
                <w:rFonts w:ascii="Times New Roman" w:hAnsi="Times New Roman"/>
                <w:sz w:val="25"/>
                <w:szCs w:val="25"/>
              </w:rPr>
              <w:t xml:space="preserve"> що призвели до збільшення навантаження на підприємства та їх витрати,</w:t>
            </w:r>
            <w:r w:rsidR="00D57FA8" w:rsidRPr="00332ECB">
              <w:rPr>
                <w:rFonts w:ascii="Times New Roman" w:hAnsi="Times New Roman"/>
                <w:sz w:val="25"/>
                <w:szCs w:val="25"/>
              </w:rPr>
              <w:t xml:space="preserve"> вимушені </w:t>
            </w:r>
            <w:r w:rsidR="00CD4362" w:rsidRPr="00332ECB">
              <w:rPr>
                <w:rFonts w:ascii="Times New Roman" w:hAnsi="Times New Roman"/>
                <w:sz w:val="25"/>
                <w:szCs w:val="25"/>
              </w:rPr>
              <w:t>радикально зменшувати витрати на оплату праці,</w:t>
            </w:r>
            <w:r w:rsidR="00D10BDC" w:rsidRPr="00332ECB">
              <w:rPr>
                <w:rFonts w:ascii="Times New Roman" w:hAnsi="Times New Roman"/>
                <w:sz w:val="25"/>
                <w:szCs w:val="25"/>
              </w:rPr>
              <w:t xml:space="preserve"> порушувати зобов’язання перед контрагентами та перед державою в частині </w:t>
            </w:r>
            <w:r w:rsidR="00D10BDC" w:rsidRPr="00332ECB">
              <w:rPr>
                <w:rFonts w:ascii="Times New Roman" w:hAnsi="Times New Roman"/>
                <w:sz w:val="25"/>
                <w:szCs w:val="25"/>
              </w:rPr>
              <w:lastRenderedPageBreak/>
              <w:t>сплати податків,</w:t>
            </w:r>
            <w:r w:rsidR="00CD4362" w:rsidRPr="00332ECB">
              <w:rPr>
                <w:rFonts w:ascii="Times New Roman" w:hAnsi="Times New Roman"/>
                <w:sz w:val="25"/>
                <w:szCs w:val="25"/>
              </w:rPr>
              <w:t xml:space="preserve"> згодом</w:t>
            </w:r>
            <w:r w:rsidR="00D10BDC" w:rsidRPr="00332ECB">
              <w:rPr>
                <w:rFonts w:ascii="Times New Roman" w:hAnsi="Times New Roman"/>
                <w:sz w:val="25"/>
                <w:szCs w:val="25"/>
              </w:rPr>
              <w:t xml:space="preserve"> бу</w:t>
            </w:r>
            <w:r w:rsidR="000F573A" w:rsidRPr="00332ECB">
              <w:rPr>
                <w:rFonts w:ascii="Times New Roman" w:hAnsi="Times New Roman"/>
                <w:sz w:val="25"/>
                <w:szCs w:val="25"/>
              </w:rPr>
              <w:t>ду</w:t>
            </w:r>
            <w:r w:rsidR="00D10BDC" w:rsidRPr="00332ECB">
              <w:rPr>
                <w:rFonts w:ascii="Times New Roman" w:hAnsi="Times New Roman"/>
                <w:sz w:val="25"/>
                <w:szCs w:val="25"/>
              </w:rPr>
              <w:t>ть вимушені</w:t>
            </w:r>
            <w:r w:rsidR="00D57FA8" w:rsidRPr="00332EC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0F573A" w:rsidRPr="00332ECB">
              <w:rPr>
                <w:rFonts w:ascii="Times New Roman" w:hAnsi="Times New Roman"/>
                <w:sz w:val="25"/>
                <w:szCs w:val="25"/>
              </w:rPr>
              <w:t xml:space="preserve">взагалі </w:t>
            </w:r>
            <w:r w:rsidR="00D57FA8" w:rsidRPr="00332ECB">
              <w:rPr>
                <w:rFonts w:ascii="Times New Roman" w:hAnsi="Times New Roman"/>
                <w:sz w:val="25"/>
                <w:szCs w:val="25"/>
              </w:rPr>
              <w:t>припин</w:t>
            </w:r>
            <w:r w:rsidR="00CD4362" w:rsidRPr="00332ECB">
              <w:rPr>
                <w:rFonts w:ascii="Times New Roman" w:hAnsi="Times New Roman"/>
                <w:sz w:val="25"/>
                <w:szCs w:val="25"/>
              </w:rPr>
              <w:t>и</w:t>
            </w:r>
            <w:r w:rsidR="00D57FA8" w:rsidRPr="00332ECB">
              <w:rPr>
                <w:rFonts w:ascii="Times New Roman" w:hAnsi="Times New Roman"/>
                <w:sz w:val="25"/>
                <w:szCs w:val="25"/>
              </w:rPr>
              <w:t xml:space="preserve">ти діяльність. Ці підприємства забезпечують, </w:t>
            </w:r>
            <w:r w:rsidR="00FB2794" w:rsidRPr="00332ECB">
              <w:rPr>
                <w:rFonts w:ascii="Times New Roman" w:hAnsi="Times New Roman"/>
                <w:sz w:val="25"/>
                <w:szCs w:val="25"/>
              </w:rPr>
              <w:t>в т.ч</w:t>
            </w:r>
            <w:r w:rsidR="00D57FA8" w:rsidRPr="00332ECB">
              <w:rPr>
                <w:rFonts w:ascii="Times New Roman" w:hAnsi="Times New Roman"/>
                <w:sz w:val="25"/>
                <w:szCs w:val="25"/>
              </w:rPr>
              <w:t xml:space="preserve"> утримання внутрішньо будинкових систем, </w:t>
            </w:r>
            <w:r w:rsidR="00D10BDC" w:rsidRPr="00332ECB">
              <w:rPr>
                <w:rFonts w:ascii="Times New Roman" w:hAnsi="Times New Roman"/>
                <w:sz w:val="25"/>
                <w:szCs w:val="25"/>
              </w:rPr>
              <w:t xml:space="preserve">і </w:t>
            </w:r>
            <w:r w:rsidR="00D57FA8" w:rsidRPr="00332ECB">
              <w:rPr>
                <w:rFonts w:ascii="Times New Roman" w:hAnsi="Times New Roman"/>
                <w:sz w:val="25"/>
                <w:szCs w:val="25"/>
              </w:rPr>
              <w:t xml:space="preserve">їх відсутність неодмінно призведе до </w:t>
            </w:r>
            <w:r w:rsidR="00CD4362" w:rsidRPr="00332ECB">
              <w:rPr>
                <w:rFonts w:ascii="Times New Roman" w:hAnsi="Times New Roman"/>
                <w:sz w:val="25"/>
                <w:szCs w:val="25"/>
              </w:rPr>
              <w:t xml:space="preserve">перебоїв у </w:t>
            </w:r>
            <w:r w:rsidR="000F573A" w:rsidRPr="00332ECB">
              <w:rPr>
                <w:rFonts w:ascii="Times New Roman" w:hAnsi="Times New Roman"/>
                <w:sz w:val="25"/>
                <w:szCs w:val="25"/>
              </w:rPr>
              <w:t xml:space="preserve">їх </w:t>
            </w:r>
            <w:r w:rsidR="00CD4362" w:rsidRPr="00332ECB">
              <w:rPr>
                <w:rFonts w:ascii="Times New Roman" w:hAnsi="Times New Roman"/>
                <w:sz w:val="25"/>
                <w:szCs w:val="25"/>
              </w:rPr>
              <w:t>функціонуванні</w:t>
            </w:r>
            <w:r w:rsidR="00D57FA8" w:rsidRPr="00332ECB">
              <w:rPr>
                <w:rFonts w:ascii="Times New Roman" w:hAnsi="Times New Roman"/>
                <w:sz w:val="25"/>
                <w:szCs w:val="25"/>
              </w:rPr>
              <w:t xml:space="preserve"> і неможливості надання населенню житлово-комунальних послуг</w:t>
            </w:r>
            <w:r w:rsidR="00CD4362" w:rsidRPr="00332ECB">
              <w:rPr>
                <w:rFonts w:ascii="Times New Roman" w:hAnsi="Times New Roman"/>
                <w:sz w:val="25"/>
                <w:szCs w:val="25"/>
              </w:rPr>
              <w:t>,</w:t>
            </w:r>
            <w:r w:rsidRPr="00332EC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CD4362" w:rsidRPr="00332ECB">
              <w:rPr>
                <w:rFonts w:ascii="Times New Roman" w:hAnsi="Times New Roman"/>
                <w:sz w:val="25"/>
                <w:szCs w:val="25"/>
              </w:rPr>
              <w:t>с</w:t>
            </w:r>
            <w:r w:rsidR="00362614" w:rsidRPr="00332ECB">
              <w:rPr>
                <w:rFonts w:ascii="Times New Roman" w:hAnsi="Times New Roman"/>
                <w:sz w:val="25"/>
                <w:szCs w:val="25"/>
              </w:rPr>
              <w:t>твор</w:t>
            </w:r>
            <w:r w:rsidR="00D10BDC" w:rsidRPr="00332ECB">
              <w:rPr>
                <w:rFonts w:ascii="Times New Roman" w:hAnsi="Times New Roman"/>
                <w:sz w:val="25"/>
                <w:szCs w:val="25"/>
              </w:rPr>
              <w:t>ить</w:t>
            </w:r>
            <w:r w:rsidR="00362614" w:rsidRPr="00332ECB">
              <w:rPr>
                <w:rFonts w:ascii="Times New Roman" w:hAnsi="Times New Roman"/>
                <w:sz w:val="25"/>
                <w:szCs w:val="25"/>
              </w:rPr>
              <w:t xml:space="preserve"> передумов</w:t>
            </w:r>
            <w:r w:rsidR="00D10BDC" w:rsidRPr="00332ECB">
              <w:rPr>
                <w:rFonts w:ascii="Times New Roman" w:hAnsi="Times New Roman"/>
                <w:sz w:val="25"/>
                <w:szCs w:val="25"/>
              </w:rPr>
              <w:t>и</w:t>
            </w:r>
            <w:r w:rsidR="00362614" w:rsidRPr="00332ECB">
              <w:rPr>
                <w:rFonts w:ascii="Times New Roman" w:hAnsi="Times New Roman"/>
                <w:sz w:val="25"/>
                <w:szCs w:val="25"/>
              </w:rPr>
              <w:t xml:space="preserve"> для </w:t>
            </w:r>
            <w:r w:rsidR="00CD4362" w:rsidRPr="00332ECB">
              <w:rPr>
                <w:rFonts w:ascii="Times New Roman" w:hAnsi="Times New Roman"/>
                <w:sz w:val="25"/>
                <w:szCs w:val="25"/>
              </w:rPr>
              <w:t xml:space="preserve">виникнення </w:t>
            </w:r>
            <w:r w:rsidR="00362614" w:rsidRPr="00332ECB">
              <w:rPr>
                <w:rFonts w:ascii="Times New Roman" w:hAnsi="Times New Roman"/>
                <w:sz w:val="25"/>
                <w:szCs w:val="25"/>
              </w:rPr>
              <w:t>аварійних ситуацій на відповідних об’єктах</w:t>
            </w:r>
            <w:r w:rsidR="00CD4362" w:rsidRPr="00332ECB">
              <w:rPr>
                <w:rFonts w:ascii="Times New Roman" w:hAnsi="Times New Roman"/>
                <w:sz w:val="25"/>
                <w:szCs w:val="25"/>
              </w:rPr>
              <w:t xml:space="preserve"> ЖКГ</w:t>
            </w:r>
            <w:r w:rsidR="00362614" w:rsidRPr="00332ECB">
              <w:rPr>
                <w:rFonts w:ascii="Times New Roman" w:hAnsi="Times New Roman"/>
                <w:sz w:val="25"/>
                <w:szCs w:val="25"/>
              </w:rPr>
              <w:t xml:space="preserve"> без можливості їх оперативного усунення. Відсутність послуг вивезення ТПВ та прибирання місць загального користування створить надзвичайно сприятливі умови для поширення будь-яких хвороб. </w:t>
            </w:r>
            <w:r w:rsidR="00FB2794" w:rsidRPr="00332ECB">
              <w:rPr>
                <w:rFonts w:ascii="Times New Roman" w:hAnsi="Times New Roman"/>
                <w:sz w:val="25"/>
                <w:szCs w:val="25"/>
              </w:rPr>
              <w:t>Прийняття а</w:t>
            </w:r>
            <w:r w:rsidR="00D10BDC" w:rsidRPr="00332ECB">
              <w:rPr>
                <w:rFonts w:ascii="Times New Roman" w:hAnsi="Times New Roman"/>
                <w:sz w:val="25"/>
                <w:szCs w:val="25"/>
              </w:rPr>
              <w:t>кт</w:t>
            </w:r>
            <w:r w:rsidR="00FB2794" w:rsidRPr="00332ECB">
              <w:rPr>
                <w:rFonts w:ascii="Times New Roman" w:hAnsi="Times New Roman"/>
                <w:sz w:val="25"/>
                <w:szCs w:val="25"/>
              </w:rPr>
              <w:t>у</w:t>
            </w:r>
            <w:r w:rsidR="00D10BDC" w:rsidRPr="00332ECB">
              <w:rPr>
                <w:rFonts w:ascii="Times New Roman" w:hAnsi="Times New Roman"/>
                <w:sz w:val="25"/>
                <w:szCs w:val="25"/>
              </w:rPr>
              <w:t xml:space="preserve"> дозволить таким підприємствам</w:t>
            </w:r>
            <w:r w:rsidR="00235A25" w:rsidRPr="00332ECB">
              <w:rPr>
                <w:rFonts w:ascii="Times New Roman" w:hAnsi="Times New Roman"/>
                <w:sz w:val="25"/>
                <w:szCs w:val="25"/>
              </w:rPr>
              <w:t xml:space="preserve"> отрим</w:t>
            </w:r>
            <w:r w:rsidR="00D10BDC" w:rsidRPr="00332ECB">
              <w:rPr>
                <w:rFonts w:ascii="Times New Roman" w:hAnsi="Times New Roman"/>
                <w:sz w:val="25"/>
                <w:szCs w:val="25"/>
              </w:rPr>
              <w:t>ати кошти, необхідні для функціонування підприємств протягом карантину.</w:t>
            </w:r>
            <w:r w:rsidR="00362614" w:rsidRPr="00332ECB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EA7A82" w:rsidRPr="00332ECB" w:rsidTr="000F573A">
        <w:trPr>
          <w:cantSplit/>
          <w:trHeight w:val="4082"/>
        </w:trPr>
        <w:tc>
          <w:tcPr>
            <w:tcW w:w="1826" w:type="dxa"/>
          </w:tcPr>
          <w:p w:rsidR="0087535D" w:rsidRPr="00332ECB" w:rsidRDefault="0087535D" w:rsidP="007E4AD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32ECB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Суб’єкти господарювання</w:t>
            </w:r>
          </w:p>
        </w:tc>
        <w:tc>
          <w:tcPr>
            <w:tcW w:w="2717" w:type="dxa"/>
          </w:tcPr>
          <w:p w:rsidR="0087535D" w:rsidRPr="00332ECB" w:rsidRDefault="00D57FA8" w:rsidP="00D91CA8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32ECB">
              <w:rPr>
                <w:rFonts w:ascii="Times New Roman" w:hAnsi="Times New Roman"/>
                <w:sz w:val="25"/>
                <w:szCs w:val="25"/>
              </w:rPr>
              <w:t xml:space="preserve">Уникнення </w:t>
            </w:r>
            <w:r w:rsidR="00F97D84" w:rsidRPr="00332ECB">
              <w:rPr>
                <w:rFonts w:ascii="Times New Roman" w:hAnsi="Times New Roman"/>
                <w:sz w:val="25"/>
                <w:szCs w:val="25"/>
              </w:rPr>
              <w:t>масових звільнень працівників, неможливості надавати послуги</w:t>
            </w:r>
            <w:r w:rsidR="00CD4362" w:rsidRPr="00332ECB">
              <w:rPr>
                <w:rFonts w:ascii="Times New Roman" w:hAnsi="Times New Roman"/>
                <w:sz w:val="25"/>
                <w:szCs w:val="25"/>
              </w:rPr>
              <w:t>,</w:t>
            </w:r>
            <w:r w:rsidRPr="00332EC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CD4362" w:rsidRPr="00332ECB">
              <w:rPr>
                <w:rFonts w:ascii="Times New Roman" w:hAnsi="Times New Roman"/>
                <w:sz w:val="25"/>
                <w:szCs w:val="25"/>
              </w:rPr>
              <w:t>банкрутства</w:t>
            </w:r>
            <w:r w:rsidR="00D91CA8" w:rsidRPr="00332ECB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2568" w:type="dxa"/>
          </w:tcPr>
          <w:p w:rsidR="0087535D" w:rsidRPr="00332ECB" w:rsidRDefault="00362614" w:rsidP="0036261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32ECB">
              <w:rPr>
                <w:rFonts w:ascii="Times New Roman" w:hAnsi="Times New Roman"/>
                <w:sz w:val="25"/>
                <w:szCs w:val="25"/>
              </w:rPr>
              <w:t xml:space="preserve">Надходження платежів за фактично надані послуги на мінімальному рівні, можливість виплати зарплатні працівникам, які безпосередньо приймають участь у наданні житлово-комунальних послуг, а також закупки необхідної продукції </w:t>
            </w:r>
          </w:p>
        </w:tc>
        <w:tc>
          <w:tcPr>
            <w:tcW w:w="3016" w:type="dxa"/>
          </w:tcPr>
          <w:p w:rsidR="0087535D" w:rsidRPr="00332ECB" w:rsidRDefault="00F97D84" w:rsidP="00EA7A8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32ECB">
              <w:rPr>
                <w:rFonts w:ascii="Times New Roman" w:hAnsi="Times New Roman"/>
                <w:sz w:val="25"/>
                <w:szCs w:val="25"/>
              </w:rPr>
              <w:t>Поступове відновлення нормального функціонування</w:t>
            </w:r>
            <w:r w:rsidR="00CD4362" w:rsidRPr="00332ECB">
              <w:rPr>
                <w:rFonts w:ascii="Times New Roman" w:hAnsi="Times New Roman"/>
                <w:sz w:val="25"/>
                <w:szCs w:val="25"/>
              </w:rPr>
              <w:t xml:space="preserve"> підприємств,</w:t>
            </w:r>
            <w:r w:rsidR="00EA7A82" w:rsidRPr="00332ECB">
              <w:rPr>
                <w:rFonts w:ascii="Times New Roman" w:hAnsi="Times New Roman"/>
                <w:sz w:val="25"/>
                <w:szCs w:val="25"/>
              </w:rPr>
              <w:t>пожвавлення</w:t>
            </w:r>
            <w:r w:rsidR="0096390B" w:rsidRPr="00332ECB">
              <w:rPr>
                <w:rFonts w:ascii="Times New Roman" w:hAnsi="Times New Roman"/>
                <w:sz w:val="25"/>
                <w:szCs w:val="25"/>
              </w:rPr>
              <w:t xml:space="preserve"> їх</w:t>
            </w:r>
            <w:r w:rsidR="00EA7A82" w:rsidRPr="00332ECB">
              <w:rPr>
                <w:rFonts w:ascii="Times New Roman" w:hAnsi="Times New Roman"/>
                <w:sz w:val="25"/>
                <w:szCs w:val="25"/>
              </w:rPr>
              <w:t xml:space="preserve"> економічної діяльності</w:t>
            </w:r>
            <w:r w:rsidR="0096390B" w:rsidRPr="00332ECB">
              <w:rPr>
                <w:rFonts w:ascii="Times New Roman" w:hAnsi="Times New Roman"/>
                <w:sz w:val="25"/>
                <w:szCs w:val="25"/>
              </w:rPr>
              <w:t xml:space="preserve"> по мірі повернення боргів за надані послуги, повернення втрачених кадрів</w:t>
            </w:r>
            <w:r w:rsidR="00EA7A82" w:rsidRPr="00332ECB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5008" w:type="dxa"/>
          </w:tcPr>
          <w:p w:rsidR="0087535D" w:rsidRPr="00332ECB" w:rsidRDefault="00EA7A82" w:rsidP="00EA7A8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32ECB">
              <w:rPr>
                <w:rFonts w:ascii="Times New Roman" w:hAnsi="Times New Roman"/>
                <w:sz w:val="25"/>
                <w:szCs w:val="25"/>
              </w:rPr>
              <w:t xml:space="preserve">В умовах катастрофічного падіння рівня </w:t>
            </w:r>
            <w:r w:rsidR="00D10BDC" w:rsidRPr="00332ECB">
              <w:rPr>
                <w:rFonts w:ascii="Times New Roman" w:hAnsi="Times New Roman"/>
                <w:sz w:val="25"/>
                <w:szCs w:val="25"/>
              </w:rPr>
              <w:t>платежів від населення за фактично надані послуги</w:t>
            </w:r>
            <w:r w:rsidRPr="00332ECB">
              <w:rPr>
                <w:rFonts w:ascii="Times New Roman" w:hAnsi="Times New Roman"/>
                <w:sz w:val="25"/>
                <w:szCs w:val="25"/>
              </w:rPr>
              <w:t xml:space="preserve"> підприємства вимушені радикально скорочувати фонд оплати праці, порушують зобов’язання перед контрагентами і в частині сплати податків перед державою. </w:t>
            </w:r>
            <w:r w:rsidR="00D10BDC" w:rsidRPr="00332ECB">
              <w:rPr>
                <w:rFonts w:ascii="Times New Roman" w:hAnsi="Times New Roman"/>
                <w:sz w:val="25"/>
                <w:szCs w:val="25"/>
              </w:rPr>
              <w:t xml:space="preserve">Внаслідок </w:t>
            </w:r>
            <w:r w:rsidR="00D91CA8" w:rsidRPr="00332ECB">
              <w:rPr>
                <w:rFonts w:ascii="Times New Roman" w:hAnsi="Times New Roman"/>
                <w:sz w:val="25"/>
                <w:szCs w:val="25"/>
              </w:rPr>
              <w:t xml:space="preserve">збільшення перебування населення у багатоквартирних будинках пропорційно збільшилось навантаження на працівників підприємств ЖКГ, особлива увага до епідеміологічної ситуації також збільшила навантаження на підприємства, що в свою чергу, збільшило їх витрати. Невжиття заходів зі зниження рівня заборгованості населення перед такими підприємствами </w:t>
            </w:r>
            <w:r w:rsidR="00235A25" w:rsidRPr="00332ECB">
              <w:rPr>
                <w:rFonts w:ascii="Times New Roman" w:hAnsi="Times New Roman"/>
                <w:sz w:val="25"/>
                <w:szCs w:val="25"/>
              </w:rPr>
              <w:t>призведе</w:t>
            </w:r>
            <w:r w:rsidR="00D91CA8" w:rsidRPr="00332ECB">
              <w:rPr>
                <w:rFonts w:ascii="Times New Roman" w:hAnsi="Times New Roman"/>
                <w:sz w:val="25"/>
                <w:szCs w:val="25"/>
              </w:rPr>
              <w:t xml:space="preserve"> до їх ліквідації.</w:t>
            </w:r>
          </w:p>
        </w:tc>
      </w:tr>
      <w:tr w:rsidR="00EA7A82" w:rsidRPr="00332ECB" w:rsidTr="000F573A">
        <w:trPr>
          <w:cantSplit/>
          <w:trHeight w:val="4783"/>
        </w:trPr>
        <w:tc>
          <w:tcPr>
            <w:tcW w:w="1826" w:type="dxa"/>
          </w:tcPr>
          <w:p w:rsidR="00D57FA8" w:rsidRPr="00332ECB" w:rsidRDefault="00D57FA8" w:rsidP="007E4AD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2EC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Громадяни</w:t>
            </w:r>
          </w:p>
        </w:tc>
        <w:tc>
          <w:tcPr>
            <w:tcW w:w="2717" w:type="dxa"/>
          </w:tcPr>
          <w:p w:rsidR="00D57FA8" w:rsidRPr="00332ECB" w:rsidRDefault="00D57FA8" w:rsidP="00D10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2ECB">
              <w:rPr>
                <w:rFonts w:ascii="Times New Roman" w:hAnsi="Times New Roman"/>
                <w:sz w:val="26"/>
                <w:szCs w:val="26"/>
              </w:rPr>
              <w:t>Продовження отримання житлово-комунальних послуг в умовах карантину</w:t>
            </w:r>
            <w:r w:rsidR="00AC7D75" w:rsidRPr="00332EC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62614" w:rsidRPr="00332ECB">
              <w:rPr>
                <w:rFonts w:ascii="Times New Roman" w:hAnsi="Times New Roman"/>
                <w:sz w:val="26"/>
                <w:szCs w:val="26"/>
              </w:rPr>
              <w:t xml:space="preserve">уникнення та швидке усунення аварійних ситуацій, </w:t>
            </w:r>
            <w:r w:rsidR="00AC7D75" w:rsidRPr="00332ECB">
              <w:rPr>
                <w:rFonts w:ascii="Times New Roman" w:hAnsi="Times New Roman"/>
                <w:sz w:val="26"/>
                <w:szCs w:val="26"/>
              </w:rPr>
              <w:t>уникнення виникнення критичного розміру заборгованості</w:t>
            </w:r>
            <w:r w:rsidR="00362614" w:rsidRPr="00332ECB">
              <w:rPr>
                <w:rFonts w:ascii="Times New Roman" w:hAnsi="Times New Roman"/>
                <w:sz w:val="26"/>
                <w:szCs w:val="26"/>
              </w:rPr>
              <w:t>, належний санітарний стан території населених пунктів</w:t>
            </w:r>
          </w:p>
        </w:tc>
        <w:tc>
          <w:tcPr>
            <w:tcW w:w="2568" w:type="dxa"/>
          </w:tcPr>
          <w:p w:rsidR="00D57FA8" w:rsidRPr="00332ECB" w:rsidRDefault="00D91CA8" w:rsidP="00DF5C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2ECB">
              <w:rPr>
                <w:rFonts w:ascii="Times New Roman" w:hAnsi="Times New Roman"/>
                <w:sz w:val="26"/>
                <w:szCs w:val="26"/>
              </w:rPr>
              <w:t>Дозволить продовжити притримуватись карантину, отримувати житлово-комунальні послуги, уникнення пошкодження і втрат</w:t>
            </w:r>
            <w:r w:rsidR="003D4EDD" w:rsidRPr="00332ECB">
              <w:rPr>
                <w:rFonts w:ascii="Times New Roman" w:hAnsi="Times New Roman"/>
                <w:sz w:val="26"/>
                <w:szCs w:val="26"/>
              </w:rPr>
              <w:t>и</w:t>
            </w:r>
            <w:r w:rsidRPr="00332ECB">
              <w:rPr>
                <w:rFonts w:ascii="Times New Roman" w:hAnsi="Times New Roman"/>
                <w:sz w:val="26"/>
                <w:szCs w:val="26"/>
              </w:rPr>
              <w:t xml:space="preserve"> майна внаслідок аварій, належний санітарно-епідеміологічний стан населених пунктів </w:t>
            </w:r>
            <w:r w:rsidR="00DF5CD2" w:rsidRPr="00332ECB">
              <w:rPr>
                <w:rFonts w:ascii="Times New Roman" w:hAnsi="Times New Roman"/>
                <w:sz w:val="26"/>
                <w:szCs w:val="26"/>
              </w:rPr>
              <w:t>і як, наслідок, зменшення рівня захворювань</w:t>
            </w:r>
            <w:r w:rsidR="00B818A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16" w:type="dxa"/>
          </w:tcPr>
          <w:p w:rsidR="00D57FA8" w:rsidRPr="00332ECB" w:rsidRDefault="00DF5CD2" w:rsidP="004E68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2ECB">
              <w:rPr>
                <w:rFonts w:ascii="Times New Roman" w:hAnsi="Times New Roman"/>
                <w:sz w:val="26"/>
                <w:szCs w:val="26"/>
              </w:rPr>
              <w:t xml:space="preserve">Забезпечення належного стану майна, </w:t>
            </w:r>
            <w:r w:rsidR="004E6860">
              <w:rPr>
                <w:rFonts w:ascii="Times New Roman" w:hAnsi="Times New Roman"/>
                <w:sz w:val="26"/>
                <w:szCs w:val="26"/>
              </w:rPr>
              <w:t>безперебійне</w:t>
            </w:r>
            <w:r w:rsidRPr="00332ECB">
              <w:rPr>
                <w:rFonts w:ascii="Times New Roman" w:hAnsi="Times New Roman"/>
                <w:sz w:val="26"/>
                <w:szCs w:val="26"/>
              </w:rPr>
              <w:t xml:space="preserve"> надання ЖКП, поступове погашення заборгованості за надані ЖКП.  </w:t>
            </w:r>
          </w:p>
        </w:tc>
        <w:tc>
          <w:tcPr>
            <w:tcW w:w="5008" w:type="dxa"/>
          </w:tcPr>
          <w:p w:rsidR="00D57FA8" w:rsidRPr="00332ECB" w:rsidRDefault="003D4EDD" w:rsidP="00DF5C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2ECB">
              <w:rPr>
                <w:rFonts w:ascii="Times New Roman" w:hAnsi="Times New Roman"/>
                <w:sz w:val="26"/>
                <w:szCs w:val="26"/>
              </w:rPr>
              <w:t>Наразі громадяни значно більше перебувають вдома, відповідно стає більш актуальним забезпечення належних умов проживання громадян в багатоквартирних будинках.</w:t>
            </w:r>
            <w:r w:rsidR="00760C8B" w:rsidRPr="00332E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F2D36" w:rsidRPr="00332ECB">
              <w:rPr>
                <w:rFonts w:ascii="Times New Roman" w:hAnsi="Times New Roman"/>
                <w:sz w:val="26"/>
                <w:szCs w:val="26"/>
              </w:rPr>
              <w:t>Як наслідок,</w:t>
            </w:r>
            <w:r w:rsidR="00760C8B" w:rsidRPr="00332ECB">
              <w:rPr>
                <w:rFonts w:ascii="Times New Roman" w:hAnsi="Times New Roman"/>
                <w:sz w:val="26"/>
                <w:szCs w:val="26"/>
              </w:rPr>
              <w:t xml:space="preserve"> забезпечення діяльності підприємств, що надають ЖКП </w:t>
            </w:r>
            <w:r w:rsidR="000F2D36" w:rsidRPr="00332ECB">
              <w:rPr>
                <w:rFonts w:ascii="Times New Roman" w:hAnsi="Times New Roman"/>
                <w:sz w:val="26"/>
                <w:szCs w:val="26"/>
              </w:rPr>
              <w:t xml:space="preserve">є </w:t>
            </w:r>
            <w:r w:rsidR="00760C8B" w:rsidRPr="00332ECB">
              <w:rPr>
                <w:rFonts w:ascii="Times New Roman" w:hAnsi="Times New Roman"/>
                <w:sz w:val="26"/>
                <w:szCs w:val="26"/>
              </w:rPr>
              <w:t>одн</w:t>
            </w:r>
            <w:r w:rsidR="000F2D36" w:rsidRPr="00332ECB">
              <w:rPr>
                <w:rFonts w:ascii="Times New Roman" w:hAnsi="Times New Roman"/>
                <w:sz w:val="26"/>
                <w:szCs w:val="26"/>
              </w:rPr>
              <w:t>ією</w:t>
            </w:r>
            <w:r w:rsidR="00760C8B" w:rsidRPr="00332ECB">
              <w:rPr>
                <w:rFonts w:ascii="Times New Roman" w:hAnsi="Times New Roman"/>
                <w:sz w:val="26"/>
                <w:szCs w:val="26"/>
              </w:rPr>
              <w:t xml:space="preserve"> з основних потреб громадян</w:t>
            </w:r>
            <w:r w:rsidR="000F2D36" w:rsidRPr="00332ECB">
              <w:rPr>
                <w:rFonts w:ascii="Times New Roman" w:hAnsi="Times New Roman"/>
                <w:sz w:val="26"/>
                <w:szCs w:val="26"/>
              </w:rPr>
              <w:t>, особливо це стосується роботи аварійно небезпечних об’єктів та забезпечення належного  санітарно-епідеміологічного стану</w:t>
            </w:r>
            <w:r w:rsidR="00760C8B" w:rsidRPr="00332ECB">
              <w:rPr>
                <w:rFonts w:ascii="Times New Roman" w:hAnsi="Times New Roman"/>
                <w:sz w:val="26"/>
                <w:szCs w:val="26"/>
              </w:rPr>
              <w:t>. В той же час велика кількість громадян внаслідок втрати щомісячних доходів не здатні оплачувати ЖКП</w:t>
            </w:r>
            <w:r w:rsidR="000F2D36" w:rsidRPr="00332ECB">
              <w:rPr>
                <w:rFonts w:ascii="Times New Roman" w:hAnsi="Times New Roman"/>
                <w:sz w:val="26"/>
                <w:szCs w:val="26"/>
              </w:rPr>
              <w:t xml:space="preserve">, що призведе до </w:t>
            </w:r>
            <w:r w:rsidR="00DF5CD2" w:rsidRPr="00332ECB">
              <w:rPr>
                <w:rFonts w:ascii="Times New Roman" w:hAnsi="Times New Roman"/>
                <w:sz w:val="26"/>
                <w:szCs w:val="26"/>
              </w:rPr>
              <w:t>критичного</w:t>
            </w:r>
            <w:r w:rsidR="000F2D36" w:rsidRPr="00332E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F5CD2" w:rsidRPr="00332ECB">
              <w:rPr>
                <w:rFonts w:ascii="Times New Roman" w:hAnsi="Times New Roman"/>
                <w:sz w:val="26"/>
                <w:szCs w:val="26"/>
              </w:rPr>
              <w:t>рівня</w:t>
            </w:r>
            <w:r w:rsidR="000F2D36" w:rsidRPr="00332ECB">
              <w:rPr>
                <w:rFonts w:ascii="Times New Roman" w:hAnsi="Times New Roman"/>
                <w:sz w:val="26"/>
                <w:szCs w:val="26"/>
              </w:rPr>
              <w:t xml:space="preserve"> заборгованості</w:t>
            </w:r>
            <w:r w:rsidR="00760C8B" w:rsidRPr="00332EC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0F573A" w:rsidRPr="00332ECB">
              <w:rPr>
                <w:rFonts w:ascii="Times New Roman" w:hAnsi="Times New Roman"/>
                <w:sz w:val="26"/>
                <w:szCs w:val="26"/>
              </w:rPr>
              <w:t>Прийняття акту дозволить зменшити негативні наслідки карантину.</w:t>
            </w:r>
          </w:p>
        </w:tc>
      </w:tr>
    </w:tbl>
    <w:p w:rsidR="0087535D" w:rsidRPr="00332ECB" w:rsidRDefault="0087535D" w:rsidP="00DC1A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535D" w:rsidRPr="00332ECB" w:rsidRDefault="0087535D" w:rsidP="005767CF">
      <w:pPr>
        <w:tabs>
          <w:tab w:val="left" w:pos="8340"/>
        </w:tabs>
        <w:rPr>
          <w:rFonts w:ascii="Times New Roman" w:hAnsi="Times New Roman"/>
          <w:sz w:val="2"/>
          <w:szCs w:val="2"/>
        </w:rPr>
      </w:pPr>
    </w:p>
    <w:sectPr w:rsidR="0087535D" w:rsidRPr="00332ECB" w:rsidSect="00D57FA8">
      <w:headerReference w:type="default" r:id="rId7"/>
      <w:pgSz w:w="16838" w:h="11906" w:orient="landscape" w:code="9"/>
      <w:pgMar w:top="851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35C" w:rsidRDefault="0001335C" w:rsidP="005767CF">
      <w:pPr>
        <w:spacing w:after="0" w:line="240" w:lineRule="auto"/>
      </w:pPr>
      <w:r>
        <w:separator/>
      </w:r>
    </w:p>
  </w:endnote>
  <w:endnote w:type="continuationSeparator" w:id="1">
    <w:p w:rsidR="0001335C" w:rsidRDefault="0001335C" w:rsidP="0057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35C" w:rsidRDefault="0001335C" w:rsidP="005767CF">
      <w:pPr>
        <w:spacing w:after="0" w:line="240" w:lineRule="auto"/>
      </w:pPr>
      <w:r>
        <w:separator/>
      </w:r>
    </w:p>
  </w:footnote>
  <w:footnote w:type="continuationSeparator" w:id="1">
    <w:p w:rsidR="0001335C" w:rsidRDefault="0001335C" w:rsidP="00576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5D" w:rsidRPr="005767CF" w:rsidRDefault="00E32A35">
    <w:pPr>
      <w:pStyle w:val="a4"/>
      <w:jc w:val="center"/>
      <w:rPr>
        <w:rFonts w:ascii="Times New Roman" w:hAnsi="Times New Roman"/>
        <w:sz w:val="28"/>
        <w:szCs w:val="28"/>
      </w:rPr>
    </w:pPr>
    <w:r w:rsidRPr="005767CF">
      <w:rPr>
        <w:rFonts w:ascii="Times New Roman" w:hAnsi="Times New Roman"/>
        <w:sz w:val="28"/>
        <w:szCs w:val="28"/>
      </w:rPr>
      <w:fldChar w:fldCharType="begin"/>
    </w:r>
    <w:r w:rsidR="0087535D" w:rsidRPr="005767CF">
      <w:rPr>
        <w:rFonts w:ascii="Times New Roman" w:hAnsi="Times New Roman"/>
        <w:sz w:val="28"/>
        <w:szCs w:val="28"/>
      </w:rPr>
      <w:instrText>PAGE   \* MERGEFORMAT</w:instrText>
    </w:r>
    <w:r w:rsidRPr="005767CF">
      <w:rPr>
        <w:rFonts w:ascii="Times New Roman" w:hAnsi="Times New Roman"/>
        <w:sz w:val="28"/>
        <w:szCs w:val="28"/>
      </w:rPr>
      <w:fldChar w:fldCharType="separate"/>
    </w:r>
    <w:r w:rsidR="00B818A8">
      <w:rPr>
        <w:rFonts w:ascii="Times New Roman" w:hAnsi="Times New Roman"/>
        <w:noProof/>
        <w:sz w:val="28"/>
        <w:szCs w:val="28"/>
      </w:rPr>
      <w:t>2</w:t>
    </w:r>
    <w:r w:rsidRPr="005767CF">
      <w:rPr>
        <w:rFonts w:ascii="Times New Roman" w:hAnsi="Times New Roman"/>
        <w:sz w:val="28"/>
        <w:szCs w:val="28"/>
      </w:rPr>
      <w:fldChar w:fldCharType="end"/>
    </w:r>
  </w:p>
  <w:p w:rsidR="0087535D" w:rsidRDefault="008753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408C"/>
    <w:multiLevelType w:val="hybridMultilevel"/>
    <w:tmpl w:val="E82A38B2"/>
    <w:lvl w:ilvl="0" w:tplc="970C250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4E22C62"/>
    <w:multiLevelType w:val="hybridMultilevel"/>
    <w:tmpl w:val="3F72862E"/>
    <w:lvl w:ilvl="0" w:tplc="303A70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8D9"/>
    <w:rsid w:val="00010979"/>
    <w:rsid w:val="000115D1"/>
    <w:rsid w:val="0001335C"/>
    <w:rsid w:val="000D5C09"/>
    <w:rsid w:val="000F2D36"/>
    <w:rsid w:val="000F573A"/>
    <w:rsid w:val="001255C8"/>
    <w:rsid w:val="001A18EE"/>
    <w:rsid w:val="00235A25"/>
    <w:rsid w:val="00332ECB"/>
    <w:rsid w:val="00362614"/>
    <w:rsid w:val="003C4035"/>
    <w:rsid w:val="003C58D9"/>
    <w:rsid w:val="003D4EDD"/>
    <w:rsid w:val="00452297"/>
    <w:rsid w:val="00457A2C"/>
    <w:rsid w:val="004672B9"/>
    <w:rsid w:val="004E6860"/>
    <w:rsid w:val="00540AAD"/>
    <w:rsid w:val="005767CF"/>
    <w:rsid w:val="005C0F8E"/>
    <w:rsid w:val="006374D6"/>
    <w:rsid w:val="00653ED9"/>
    <w:rsid w:val="006C4C4B"/>
    <w:rsid w:val="006D297C"/>
    <w:rsid w:val="006E7DFF"/>
    <w:rsid w:val="00733609"/>
    <w:rsid w:val="00760C8B"/>
    <w:rsid w:val="007E4AD3"/>
    <w:rsid w:val="0087535D"/>
    <w:rsid w:val="009234B1"/>
    <w:rsid w:val="00936C5E"/>
    <w:rsid w:val="0095004F"/>
    <w:rsid w:val="0096390B"/>
    <w:rsid w:val="009A2334"/>
    <w:rsid w:val="00AA6F24"/>
    <w:rsid w:val="00AC7D75"/>
    <w:rsid w:val="00B178C7"/>
    <w:rsid w:val="00B45E2D"/>
    <w:rsid w:val="00B818A8"/>
    <w:rsid w:val="00BC029C"/>
    <w:rsid w:val="00BE2DC8"/>
    <w:rsid w:val="00C0339B"/>
    <w:rsid w:val="00CA645A"/>
    <w:rsid w:val="00CD4362"/>
    <w:rsid w:val="00CF1F59"/>
    <w:rsid w:val="00D10BDC"/>
    <w:rsid w:val="00D424A8"/>
    <w:rsid w:val="00D442BD"/>
    <w:rsid w:val="00D57FA8"/>
    <w:rsid w:val="00D91CA8"/>
    <w:rsid w:val="00DA497A"/>
    <w:rsid w:val="00DC1AC8"/>
    <w:rsid w:val="00DF5CD2"/>
    <w:rsid w:val="00E32A35"/>
    <w:rsid w:val="00E44392"/>
    <w:rsid w:val="00E53143"/>
    <w:rsid w:val="00E77308"/>
    <w:rsid w:val="00EA7A82"/>
    <w:rsid w:val="00F63F0D"/>
    <w:rsid w:val="00F90482"/>
    <w:rsid w:val="00F97D84"/>
    <w:rsid w:val="00FB2794"/>
    <w:rsid w:val="00FE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79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">
    <w:name w:val="a5"/>
    <w:basedOn w:val="a"/>
    <w:uiPriority w:val="99"/>
    <w:rsid w:val="00733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3">
    <w:name w:val="Table Grid"/>
    <w:basedOn w:val="a1"/>
    <w:uiPriority w:val="99"/>
    <w:rsid w:val="007336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rsid w:val="00DC1AC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6"/>
    <w:uiPriority w:val="99"/>
    <w:rsid w:val="005767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4"/>
    <w:uiPriority w:val="99"/>
    <w:locked/>
    <w:rsid w:val="005767CF"/>
    <w:rPr>
      <w:rFonts w:cs="Times New Roman"/>
    </w:rPr>
  </w:style>
  <w:style w:type="paragraph" w:styleId="a7">
    <w:name w:val="footer"/>
    <w:basedOn w:val="a"/>
    <w:link w:val="a8"/>
    <w:uiPriority w:val="99"/>
    <w:rsid w:val="005767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767CF"/>
    <w:rPr>
      <w:rFonts w:cs="Times New Roman"/>
    </w:rPr>
  </w:style>
  <w:style w:type="character" w:customStyle="1" w:styleId="rvts0">
    <w:name w:val="rvts0"/>
    <w:basedOn w:val="a0"/>
    <w:uiPriority w:val="99"/>
    <w:rsid w:val="009A233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C0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C029C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D297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D297C"/>
    <w:pPr>
      <w:widowControl w:val="0"/>
      <w:shd w:val="clear" w:color="auto" w:fill="FFFFFF"/>
      <w:spacing w:before="180" w:after="120" w:line="312" w:lineRule="exact"/>
      <w:ind w:firstLine="600"/>
      <w:jc w:val="both"/>
    </w:pPr>
    <w:rPr>
      <w:rFonts w:ascii="Times New Roman" w:eastAsia="Times New Roman" w:hAnsi="Times New Roman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 ВПЛИВУ</vt:lpstr>
    </vt:vector>
  </TitlesOfParts>
  <Company>Grizli777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ВПЛИВУ</dc:title>
  <dc:creator>Наталія Козаченко</dc:creator>
  <cp:lastModifiedBy>Тарас</cp:lastModifiedBy>
  <cp:revision>17</cp:revision>
  <cp:lastPrinted>2019-05-28T07:42:00Z</cp:lastPrinted>
  <dcterms:created xsi:type="dcterms:W3CDTF">2020-03-26T16:29:00Z</dcterms:created>
  <dcterms:modified xsi:type="dcterms:W3CDTF">2020-03-26T19:56:00Z</dcterms:modified>
</cp:coreProperties>
</file>