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30658" cy="8667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0658"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2457"/>
        <w:rPr/>
      </w:pPr>
      <w:r w:rsidDel="00000000" w:rsidR="00000000" w:rsidRPr="00000000">
        <w:rPr>
          <w:color w:val="be8f00"/>
          <w:rtl w:val="0"/>
        </w:rPr>
        <w:t xml:space="preserve">ДЕПУТАТ</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578" w:right="250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be8f00"/>
          <w:sz w:val="28"/>
          <w:szCs w:val="28"/>
          <w:u w:val="none"/>
          <w:shd w:fill="auto" w:val="clear"/>
          <w:vertAlign w:val="baseline"/>
          <w:rtl w:val="0"/>
        </w:rPr>
        <w:t xml:space="preserve">КИЇВСЬКОЇ МІСЬКОЇ РАДИ IX СКЛИКАННЯ</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6220460" cy="76835"/>
                <wp:effectExtent b="0" l="0" r="0" t="0"/>
                <wp:wrapTopAndBottom distB="0" distT="0"/>
                <wp:docPr id="1" name=""/>
                <a:graphic>
                  <a:graphicData uri="http://schemas.microsoft.com/office/word/2010/wordprocessingShape">
                    <wps:wsp>
                      <wps:cNvSpPr/>
                      <wps:cNvPr id="2" name="Shape 2"/>
                      <wps:spPr>
                        <a:xfrm>
                          <a:off x="2240533" y="3746345"/>
                          <a:ext cx="6210935" cy="67310"/>
                        </a:xfrm>
                        <a:custGeom>
                          <a:rect b="b" l="l" r="r" t="t"/>
                          <a:pathLst>
                            <a:path extrusionOk="0" h="106" w="9781">
                              <a:moveTo>
                                <a:pt x="0" y="0"/>
                              </a:moveTo>
                              <a:lnTo>
                                <a:pt x="0" y="19"/>
                              </a:lnTo>
                              <a:lnTo>
                                <a:pt x="9780" y="29"/>
                              </a:lnTo>
                              <a:lnTo>
                                <a:pt x="9780" y="10"/>
                              </a:lnTo>
                              <a:lnTo>
                                <a:pt x="0" y="0"/>
                              </a:lnTo>
                              <a:close/>
                              <a:moveTo>
                                <a:pt x="0" y="38"/>
                              </a:moveTo>
                              <a:lnTo>
                                <a:pt x="0" y="96"/>
                              </a:lnTo>
                              <a:lnTo>
                                <a:pt x="9780" y="106"/>
                              </a:lnTo>
                              <a:lnTo>
                                <a:pt x="9780" y="48"/>
                              </a:lnTo>
                              <a:lnTo>
                                <a:pt x="0" y="38"/>
                              </a:lnTo>
                              <a:close/>
                            </a:path>
                          </a:pathLst>
                        </a:custGeom>
                        <a:solidFill>
                          <a:srgbClr val="0D257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6220460" cy="76835"/>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20460" cy="76835"/>
                        </a:xfrm>
                        <a:prstGeom prst="rect"/>
                        <a:ln/>
                      </pic:spPr>
                    </pic:pic>
                  </a:graphicData>
                </a:graphic>
              </wp:anchor>
            </w:drawing>
          </mc:Fallback>
        </mc:AlternateContent>
      </w:r>
    </w:p>
    <w:p w:rsidR="00000000" w:rsidDel="00000000" w:rsidP="00000000" w:rsidRDefault="00000000" w:rsidRPr="00000000" w14:paraId="00000005">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u w:val="single"/>
          <w:rtl w:val="0"/>
        </w:rPr>
        <w:t xml:space="preserve">  20</w:t>
        <w:tab/>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u w:val="single"/>
          <w:rtl w:val="0"/>
        </w:rPr>
        <w:t xml:space="preserve">     липня</w:t>
        <w:tab/>
      </w:r>
      <w:r w:rsidDel="00000000" w:rsidR="00000000" w:rsidRPr="00000000">
        <w:rPr>
          <w:rFonts w:ascii="Times New Roman" w:cs="Times New Roman" w:eastAsia="Times New Roman" w:hAnsi="Times New Roman"/>
          <w:sz w:val="28"/>
          <w:szCs w:val="28"/>
          <w:rtl w:val="0"/>
        </w:rPr>
        <w:t xml:space="preserve">2021 р.</w:t>
        <w:tab/>
        <w:t xml:space="preserve">№</w:t>
      </w:r>
      <w:r w:rsidDel="00000000" w:rsidR="00000000" w:rsidRPr="00000000">
        <w:rPr>
          <w:rFonts w:ascii="Times New Roman" w:cs="Times New Roman" w:eastAsia="Times New Roman" w:hAnsi="Times New Roman"/>
          <w:sz w:val="28"/>
          <w:szCs w:val="28"/>
          <w:u w:val="single"/>
          <w:rtl w:val="0"/>
        </w:rPr>
        <w:t xml:space="preserve"> 08/279/09/248-972</w:t>
      </w:r>
    </w:p>
    <w:p w:rsidR="00000000" w:rsidDel="00000000" w:rsidP="00000000" w:rsidRDefault="00000000" w:rsidRPr="00000000" w14:paraId="00000006">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0"/>
          <w:szCs w:val="20"/>
          <w:u w:val="single"/>
        </w:rPr>
      </w:pPr>
      <w:r w:rsidDel="00000000" w:rsidR="00000000" w:rsidRPr="00000000">
        <w:rPr>
          <w:rtl w:val="0"/>
        </w:rPr>
      </w:r>
    </w:p>
    <w:tbl>
      <w:tblPr>
        <w:tblStyle w:val="Table1"/>
        <w:tblW w:w="5686.0" w:type="dxa"/>
        <w:jc w:val="left"/>
        <w:tblInd w:w="4820.0" w:type="dxa"/>
        <w:tblLayout w:type="fixed"/>
        <w:tblLook w:val="0000"/>
      </w:tblPr>
      <w:tblGrid>
        <w:gridCol w:w="5686"/>
        <w:tblGridChange w:id="0">
          <w:tblGrid>
            <w:gridCol w:w="5686"/>
          </w:tblGrid>
        </w:tblGridChange>
      </w:tblGrid>
      <w:tr>
        <w:trPr>
          <w:cantSplit w:val="0"/>
          <w:trHeight w:val="671" w:hRule="atLeast"/>
          <w:tblHeader w:val="0"/>
        </w:trPr>
        <w:tc>
          <w:tcPr>
            <w:shd w:fill="auto" w:val="clear"/>
          </w:tcPr>
          <w:p w:rsidR="00000000" w:rsidDel="00000000" w:rsidP="00000000" w:rsidRDefault="00000000" w:rsidRPr="00000000" w14:paraId="00000007">
            <w:pPr>
              <w:ind w:left="-1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Директору Департаменту міського благоустрою</w:t>
            </w:r>
          </w:p>
          <w:p w:rsidR="00000000" w:rsidDel="00000000" w:rsidP="00000000" w:rsidRDefault="00000000" w:rsidRPr="00000000" w14:paraId="00000008">
            <w:pPr>
              <w:ind w:left="-1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Ткаченку Тимуру Фіруддіновичу</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ind w:left="-1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Начальнику Управління екології та природніх ресурсів</w:t>
            </w:r>
          </w:p>
          <w:p w:rsidR="00000000" w:rsidDel="00000000" w:rsidP="00000000" w:rsidRDefault="00000000" w:rsidRPr="00000000" w14:paraId="0000000B">
            <w:pPr>
              <w:ind w:left="-1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Возному Олександру Івановичу</w:t>
            </w:r>
          </w:p>
          <w:p w:rsidR="00000000" w:rsidDel="00000000" w:rsidP="00000000" w:rsidRDefault="00000000" w:rsidRPr="00000000" w14:paraId="0000000C">
            <w:pPr>
              <w:ind w:left="-1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ДЕПУТАТСЬКЕ ЗВЕРНЕННЯ</w:t>
      </w:r>
    </w:p>
    <w:p w:rsidR="00000000" w:rsidDel="00000000" w:rsidP="00000000" w:rsidRDefault="00000000" w:rsidRPr="00000000" w14:paraId="0000000E">
      <w:pPr>
        <w:jc w:val="center"/>
        <w:rPr>
          <w:rFonts w:ascii="Times New Roman" w:cs="Times New Roman" w:eastAsia="Times New Roman" w:hAnsi="Times New Roman"/>
          <w:b w:val="1"/>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щодо незаконного паління кальянів на територіях </w:t>
      </w:r>
    </w:p>
    <w:p w:rsidR="00000000" w:rsidDel="00000000" w:rsidP="00000000" w:rsidRDefault="00000000" w:rsidRPr="00000000" w14:paraId="0000001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Русанівської набережної, Русанівської коси та Русанівського каналу</w:t>
      </w:r>
    </w:p>
    <w:p w:rsidR="00000000" w:rsidDel="00000000" w:rsidP="00000000" w:rsidRDefault="00000000" w:rsidRPr="00000000" w14:paraId="00000011">
      <w:pPr>
        <w:widowControl w:val="1"/>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2">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Тимуре Фіруддіновичу!</w:t>
      </w:r>
    </w:p>
    <w:p w:rsidR="00000000" w:rsidDel="00000000" w:rsidP="00000000" w:rsidRDefault="00000000" w:rsidRPr="00000000" w14:paraId="00000013">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Олександре Івановичу!</w:t>
      </w:r>
    </w:p>
    <w:p w:rsidR="00000000" w:rsidDel="00000000" w:rsidP="00000000" w:rsidRDefault="00000000" w:rsidRPr="00000000" w14:paraId="00000014">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5">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представник територіальної громади міста Києва, відповідно до статті 13 Закону України «Про статус депутатів місцевих рад» направляю Вам депутатське звернення.</w:t>
      </w:r>
    </w:p>
    <w:p w:rsidR="00000000" w:rsidDel="00000000" w:rsidP="00000000" w:rsidRDefault="00000000" w:rsidRPr="00000000" w14:paraId="00000016">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мене, як до депутата Київської міської ради, звернулись мешканці мікрорайону «Русанівка» Дніпровського району м. Києва з проханням припинення незаконного паління кальянів у зелених зонах мікрорайону «Русанівки».</w:t>
      </w:r>
    </w:p>
    <w:p w:rsidR="00000000" w:rsidDel="00000000" w:rsidP="00000000" w:rsidRDefault="00000000" w:rsidRPr="00000000" w14:paraId="00000017">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Мешканці зазначають, що паління кальянів на території зелених зон мікрорайону завдає шкоду його зеленим насадженням, негативно впливає на навколишнє природне середовище шляхом забруднення повітря димом кальянів, призводить до використання цієї рекреаційної зони не за її функціональним призначенням та здійснює шкідливий вплив на здоров’я мешканців.</w:t>
      </w:r>
    </w:p>
    <w:p w:rsidR="00000000" w:rsidDel="00000000" w:rsidP="00000000" w:rsidRDefault="00000000" w:rsidRPr="00000000" w14:paraId="00000018">
      <w:pPr>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вищевикладеним, прошу перевірити законність та надати інформацію про дозвільні документи пунктів куріння кальянів у зелених зонах Русанівської набережної, Русанівської коси та Русанівського каналу.</w:t>
      </w:r>
    </w:p>
    <w:p w:rsidR="00000000" w:rsidDel="00000000" w:rsidP="00000000" w:rsidRDefault="00000000" w:rsidRPr="00000000" w14:paraId="00000019">
      <w:pPr>
        <w:ind w:firstLine="85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 результати розгляду депутатського звернення прошу повідомити на адресу моєї громадської приймальні: 02090, вул. Харківське шосе, 11.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73" w:before="0" w:line="240" w:lineRule="auto"/>
        <w:ind w:left="92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 повагою,</w:t>
      </w:r>
    </w:p>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депутат Київської міської ради                                                     Ярослав ФЕДОРЕНКО </w:t>
      </w:r>
    </w:p>
    <w:p w:rsidR="00000000" w:rsidDel="00000000" w:rsidP="00000000" w:rsidRDefault="00000000" w:rsidRPr="00000000" w14:paraId="0000001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tabs>
          <w:tab w:val="left" w:pos="705"/>
          <w:tab w:val="left" w:pos="2504"/>
          <w:tab w:val="left" w:pos="7204"/>
          <w:tab w:val="left" w:pos="9739"/>
        </w:tabs>
        <w:spacing w:before="82"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Вик. Юлія Мазурчак</w:t>
        <w:br w:type="textWrapping"/>
        <w:t xml:space="preserve">(050) 359-14-50</w:t>
      </w:r>
    </w:p>
    <w:sectPr>
      <w:pgSz w:h="16840" w:w="11910" w:orient="portrait"/>
      <w:pgMar w:bottom="567" w:top="726"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3" w:lineRule="auto"/>
      <w:ind w:left="2457" w:right="2508"/>
      <w:jc w:val="center"/>
    </w:pPr>
    <w:rPr>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