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28"/>
          <w:szCs w:val="28"/>
        </w:rPr>
      </w:pPr>
      <w:r w:rsidDel="00000000" w:rsidR="00000000" w:rsidRPr="00000000">
        <w:rPr/>
        <w:drawing>
          <wp:anchor allowOverlap="1" behindDoc="0" distB="0" distT="0" distL="114300" distR="114300" hidden="0" layoutInCell="1" locked="0" relativeHeight="0" simplePos="0">
            <wp:simplePos x="0" y="0"/>
            <wp:positionH relativeFrom="margin">
              <wp:align>center</wp:align>
            </wp:positionH>
            <wp:positionV relativeFrom="page">
              <wp:posOffset>727075</wp:posOffset>
            </wp:positionV>
            <wp:extent cx="629920" cy="867410"/>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9920" cy="867410"/>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tabs>
          <w:tab w:val="left" w:pos="9781"/>
        </w:tabs>
        <w:spacing w:after="0" w:line="240" w:lineRule="auto"/>
        <w:jc w:val="center"/>
        <w:rPr>
          <w:sz w:val="28"/>
          <w:szCs w:val="28"/>
        </w:rPr>
      </w:pPr>
      <w:r w:rsidDel="00000000" w:rsidR="00000000" w:rsidRPr="00000000">
        <w:rPr>
          <w:rtl w:val="0"/>
        </w:rPr>
      </w:r>
    </w:p>
    <w:p w:rsidR="00000000" w:rsidDel="00000000" w:rsidP="00000000" w:rsidRDefault="00000000" w:rsidRPr="00000000" w14:paraId="00000003">
      <w:pPr>
        <w:spacing w:after="0" w:line="240" w:lineRule="auto"/>
        <w:rPr>
          <w:sz w:val="40"/>
          <w:szCs w:val="40"/>
        </w:rPr>
      </w:pPr>
      <w:r w:rsidDel="00000000" w:rsidR="00000000" w:rsidRPr="00000000">
        <w:rPr>
          <w:rtl w:val="0"/>
        </w:rPr>
      </w:r>
    </w:p>
    <w:p w:rsidR="00000000" w:rsidDel="00000000" w:rsidP="00000000" w:rsidRDefault="00000000" w:rsidRPr="00000000" w14:paraId="00000004">
      <w:pPr>
        <w:spacing w:after="0" w:line="240" w:lineRule="auto"/>
        <w:ind w:left="-142" w:firstLine="0"/>
        <w:jc w:val="center"/>
        <w:rPr>
          <w:rFonts w:ascii="Benguiat Rus" w:cs="Benguiat Rus" w:eastAsia="Benguiat Rus" w:hAnsi="Benguiat Rus"/>
          <w:smallCaps w:val="1"/>
          <w:color w:val="bf8f00"/>
          <w:sz w:val="72"/>
          <w:szCs w:val="72"/>
        </w:rPr>
      </w:pPr>
      <w:r w:rsidDel="00000000" w:rsidR="00000000" w:rsidRPr="00000000">
        <w:rPr>
          <w:rtl w:val="0"/>
        </w:rPr>
      </w:r>
    </w:p>
    <w:p w:rsidR="00000000" w:rsidDel="00000000" w:rsidP="00000000" w:rsidRDefault="00000000" w:rsidRPr="00000000" w14:paraId="00000005">
      <w:pPr>
        <w:spacing w:after="0" w:line="240" w:lineRule="auto"/>
        <w:ind w:left="-142" w:firstLine="0"/>
        <w:jc w:val="center"/>
        <w:rPr>
          <w:rFonts w:ascii="Benguiat Rus" w:cs="Benguiat Rus" w:eastAsia="Benguiat Rus" w:hAnsi="Benguiat Rus"/>
          <w:smallCaps w:val="1"/>
          <w:color w:val="bf8f00"/>
          <w:sz w:val="72"/>
          <w:szCs w:val="72"/>
        </w:rPr>
      </w:pPr>
      <w:r w:rsidDel="00000000" w:rsidR="00000000" w:rsidRPr="00000000">
        <w:rPr>
          <w:rFonts w:ascii="Benguiat Rus" w:cs="Benguiat Rus" w:eastAsia="Benguiat Rus" w:hAnsi="Benguiat Rus"/>
          <w:smallCaps w:val="1"/>
          <w:color w:val="bf8f00"/>
          <w:sz w:val="72"/>
          <w:szCs w:val="72"/>
          <w:rtl w:val="0"/>
        </w:rPr>
        <w:t xml:space="preserve">ДЕПУТАТ</w:t>
      </w:r>
    </w:p>
    <w:p w:rsidR="00000000" w:rsidDel="00000000" w:rsidP="00000000" w:rsidRDefault="00000000" w:rsidRPr="00000000" w14:paraId="00000006">
      <w:pPr>
        <w:spacing w:after="0" w:line="240" w:lineRule="auto"/>
        <w:jc w:val="center"/>
        <w:rPr>
          <w:rFonts w:ascii="Benguiat Rus" w:cs="Benguiat Rus" w:eastAsia="Benguiat Rus" w:hAnsi="Benguiat Rus"/>
          <w:color w:val="bf8f00"/>
          <w:sz w:val="28"/>
          <w:szCs w:val="28"/>
        </w:rPr>
      </w:pPr>
      <w:r w:rsidDel="00000000" w:rsidR="00000000" w:rsidRPr="00000000">
        <w:rPr>
          <w:rFonts w:ascii="Benguiat Rus" w:cs="Benguiat Rus" w:eastAsia="Benguiat Rus" w:hAnsi="Benguiat Rus"/>
          <w:color w:val="bf8f00"/>
          <w:sz w:val="28"/>
          <w:szCs w:val="28"/>
          <w:rtl w:val="0"/>
        </w:rPr>
        <w:t xml:space="preserve">КИ</w:t>
      </w:r>
      <w:r w:rsidDel="00000000" w:rsidR="00000000" w:rsidRPr="00000000">
        <w:rPr>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ВСЬКО</w:t>
      </w:r>
      <w:r w:rsidDel="00000000" w:rsidR="00000000" w:rsidRPr="00000000">
        <w:rPr>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М</w:t>
      </w:r>
      <w:r w:rsidDel="00000000" w:rsidR="00000000" w:rsidRPr="00000000">
        <w:rPr>
          <w:color w:val="bf8f00"/>
          <w:sz w:val="28"/>
          <w:szCs w:val="28"/>
          <w:rtl w:val="0"/>
        </w:rPr>
        <w:t xml:space="preserve">І</w:t>
      </w:r>
      <w:r w:rsidDel="00000000" w:rsidR="00000000" w:rsidRPr="00000000">
        <w:rPr>
          <w:rFonts w:ascii="Benguiat Rus" w:cs="Benguiat Rus" w:eastAsia="Benguiat Rus" w:hAnsi="Benguiat Rus"/>
          <w:color w:val="bf8f00"/>
          <w:sz w:val="28"/>
          <w:szCs w:val="28"/>
          <w:rtl w:val="0"/>
        </w:rPr>
        <w:t xml:space="preserve">СЬКО</w:t>
      </w:r>
      <w:r w:rsidDel="00000000" w:rsidR="00000000" w:rsidRPr="00000000">
        <w:rPr>
          <w:color w:val="bf8f00"/>
          <w:sz w:val="28"/>
          <w:szCs w:val="28"/>
          <w:rtl w:val="0"/>
        </w:rPr>
        <w:t xml:space="preserve">Ї</w:t>
      </w:r>
      <w:r w:rsidDel="00000000" w:rsidR="00000000" w:rsidRPr="00000000">
        <w:rPr>
          <w:rFonts w:ascii="Benguiat Rus" w:cs="Benguiat Rus" w:eastAsia="Benguiat Rus" w:hAnsi="Benguiat Rus"/>
          <w:color w:val="bf8f00"/>
          <w:sz w:val="28"/>
          <w:szCs w:val="28"/>
          <w:rtl w:val="0"/>
        </w:rPr>
        <w:t xml:space="preserve"> РАДИ IX СКЛИКАННЯ</w:t>
      </w:r>
    </w:p>
    <w:p w:rsidR="00000000" w:rsidDel="00000000" w:rsidP="00000000" w:rsidRDefault="00000000" w:rsidRPr="00000000" w14:paraId="00000007">
      <w:pPr>
        <w:spacing w:after="0" w:line="240" w:lineRule="auto"/>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6375400</wp:posOffset>
                </wp:positionH>
                <wp:positionV relativeFrom="paragraph">
                  <wp:posOffset>0</wp:posOffset>
                </wp:positionV>
                <wp:extent cx="60325" cy="12700"/>
                <wp:effectExtent b="0" l="0" r="0" t="0"/>
                <wp:wrapNone/>
                <wp:docPr id="1" name=""/>
                <a:graphic>
                  <a:graphicData uri="http://schemas.microsoft.com/office/word/2010/wordprocessingShape">
                    <wps:wsp>
                      <wps:cNvSpPr/>
                      <wps:cNvPr id="2" name="Shape 2"/>
                      <wps:spPr>
                        <a:xfrm>
                          <a:off x="4605590" y="3844135"/>
                          <a:ext cx="6210300" cy="6350"/>
                        </a:xfrm>
                        <a:prstGeom prst="straightConnector1">
                          <a:avLst/>
                        </a:prstGeom>
                        <a:solidFill>
                          <a:srgbClr val="FFFFFF"/>
                        </a:solidFill>
                        <a:ln cap="flat" cmpd="sng" w="60325">
                          <a:solidFill>
                            <a:srgbClr val="0E2674"/>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6375400</wp:posOffset>
                </wp:positionH>
                <wp:positionV relativeFrom="paragraph">
                  <wp:posOffset>0</wp:posOffset>
                </wp:positionV>
                <wp:extent cx="60325"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0325" cy="12700"/>
                        </a:xfrm>
                        <a:prstGeom prst="rect"/>
                        <a:ln/>
                      </pic:spPr>
                    </pic:pic>
                  </a:graphicData>
                </a:graphic>
              </wp:anchor>
            </w:drawing>
          </mc:Fallback>
        </mc:AlternateContent>
      </w:r>
    </w:p>
    <w:p w:rsidR="00000000" w:rsidDel="00000000" w:rsidP="00000000" w:rsidRDefault="00000000" w:rsidRPr="00000000" w14:paraId="00000008">
      <w:pPr>
        <w:spacing w:after="0" w:line="240" w:lineRule="auto"/>
        <w:ind w:right="107"/>
        <w:jc w:val="center"/>
        <w:rPr>
          <w:sz w:val="20"/>
          <w:szCs w:val="20"/>
        </w:rPr>
      </w:pPr>
      <w:r w:rsidDel="00000000" w:rsidR="00000000" w:rsidRPr="00000000">
        <w:rPr>
          <w:rtl w:val="0"/>
        </w:rPr>
      </w:r>
    </w:p>
    <w:p w:rsidR="00000000" w:rsidDel="00000000" w:rsidP="00000000" w:rsidRDefault="00000000" w:rsidRPr="00000000" w14:paraId="00000009">
      <w:pPr>
        <w:spacing w:after="0" w:line="240" w:lineRule="auto"/>
        <w:ind w:right="10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 березня 2021 р.                                                  №08/279/09/211-091</w:t>
      </w:r>
    </w:p>
    <w:tbl>
      <w:tblPr>
        <w:tblStyle w:val="Table1"/>
        <w:tblW w:w="9919.999999999998" w:type="dxa"/>
        <w:jc w:val="center"/>
        <w:tblLayout w:type="fixed"/>
        <w:tblLook w:val="0400"/>
      </w:tblPr>
      <w:tblGrid>
        <w:gridCol w:w="4039"/>
        <w:gridCol w:w="79"/>
        <w:gridCol w:w="5564"/>
        <w:gridCol w:w="238"/>
        <w:tblGridChange w:id="0">
          <w:tblGrid>
            <w:gridCol w:w="4039"/>
            <w:gridCol w:w="79"/>
            <w:gridCol w:w="5564"/>
            <w:gridCol w:w="238"/>
          </w:tblGrid>
        </w:tblGridChange>
      </w:tblGrid>
      <w:tr>
        <w:trPr>
          <w:trHeight w:val="45" w:hRule="atLeast"/>
        </w:trPr>
        <w:tc>
          <w:tcPr>
            <w:gridSpan w:val="2"/>
            <w:shd w:fill="auto" w:val="clear"/>
          </w:tcPr>
          <w:p w:rsidR="00000000" w:rsidDel="00000000" w:rsidP="00000000" w:rsidRDefault="00000000" w:rsidRPr="00000000" w14:paraId="0000000A">
            <w:pPr>
              <w:spacing w:after="0" w:line="240" w:lineRule="auto"/>
              <w:ind w:firstLine="567"/>
              <w:rPr>
                <w:rFonts w:ascii="Times New Roman" w:cs="Times New Roman" w:eastAsia="Times New Roman" w:hAnsi="Times New Roman"/>
                <w:sz w:val="28"/>
                <w:szCs w:val="28"/>
              </w:rPr>
            </w:pPr>
            <w:r w:rsidDel="00000000" w:rsidR="00000000" w:rsidRPr="00000000">
              <w:rPr>
                <w:rtl w:val="0"/>
              </w:rPr>
            </w:r>
          </w:p>
        </w:tc>
        <w:tc>
          <w:tcPr>
            <w:shd w:fill="auto" w:val="clear"/>
          </w:tcPr>
          <w:p w:rsidR="00000000" w:rsidDel="00000000" w:rsidP="00000000" w:rsidRDefault="00000000" w:rsidRPr="00000000" w14:paraId="0000000C">
            <w:pPr>
              <w:spacing w:after="0" w:line="240" w:lineRule="auto"/>
              <w:ind w:firstLine="42"/>
              <w:rPr>
                <w:rFonts w:ascii="Times New Roman" w:cs="Times New Roman" w:eastAsia="Times New Roman" w:hAnsi="Times New Roman"/>
                <w:sz w:val="28"/>
                <w:szCs w:val="28"/>
              </w:rPr>
            </w:pPr>
            <w:r w:rsidDel="00000000" w:rsidR="00000000" w:rsidRPr="00000000">
              <w:rPr>
                <w:rtl w:val="0"/>
              </w:rPr>
            </w:r>
          </w:p>
        </w:tc>
      </w:tr>
      <w:tr>
        <w:trPr>
          <w:trHeight w:val="1400" w:hRule="atLeast"/>
        </w:trPr>
        <w:tc>
          <w:tcPr>
            <w:shd w:fill="auto" w:val="clear"/>
          </w:tcPr>
          <w:p w:rsidR="00000000" w:rsidDel="00000000" w:rsidP="00000000" w:rsidRDefault="00000000" w:rsidRPr="00000000" w14:paraId="0000000D">
            <w:pPr>
              <w:spacing w:after="0"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i w:val="1"/>
                <w:highlight w:val="white"/>
              </w:rPr>
            </w:pP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i w:val="1"/>
                <w:sz w:val="24"/>
                <w:szCs w:val="24"/>
                <w:highlight w:val="white"/>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i w:val="1"/>
                <w:color w:val="000000"/>
                <w:sz w:val="24"/>
                <w:szCs w:val="24"/>
                <w:highlight w:val="white"/>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color w:val="000000"/>
                <w:sz w:val="24"/>
                <w:szCs w:val="24"/>
                <w:highlight w:val="white"/>
                <w:rtl w:val="0"/>
              </w:rPr>
              <w:t xml:space="preserve">Щодо надання інформації та вжиття заходів</w:t>
            </w:r>
            <w:r w:rsidDel="00000000" w:rsidR="00000000" w:rsidRPr="00000000">
              <w:rPr>
                <w:rtl w:val="0"/>
              </w:rPr>
            </w:r>
          </w:p>
        </w:tc>
        <w:tc>
          <w:tcPr>
            <w:gridSpan w:val="3"/>
            <w:shd w:fill="auto" w:val="clear"/>
          </w:tcPr>
          <w:p w:rsidR="00000000" w:rsidDel="00000000" w:rsidP="00000000" w:rsidRDefault="00000000" w:rsidRPr="00000000" w14:paraId="0000001D">
            <w:pPr>
              <w:tabs>
                <w:tab w:val="left" w:pos="126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Директору Департаменту земельних ресурсів виконавчого органу Київської міської ради (Київської міської державної адміністрації)</w:t>
            </w:r>
          </w:p>
          <w:p w:rsidR="00000000" w:rsidDel="00000000" w:rsidP="00000000" w:rsidRDefault="00000000" w:rsidRPr="00000000" w14:paraId="0000001E">
            <w:pPr>
              <w:tabs>
                <w:tab w:val="left" w:pos="126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Оленичу П.С.</w:t>
            </w:r>
          </w:p>
          <w:p w:rsidR="00000000" w:rsidDel="00000000" w:rsidP="00000000" w:rsidRDefault="00000000" w:rsidRPr="00000000" w14:paraId="0000001F">
            <w:pPr>
              <w:tabs>
                <w:tab w:val="left" w:pos="1260"/>
              </w:tabs>
              <w:spacing w:after="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01601, м. Київ, вул. Хрещатик, 32-а</w:t>
            </w:r>
          </w:p>
          <w:p w:rsidR="00000000" w:rsidDel="00000000" w:rsidP="00000000" w:rsidRDefault="00000000" w:rsidRPr="00000000" w14:paraId="00000020">
            <w:pPr>
              <w:tabs>
                <w:tab w:val="left" w:pos="1260"/>
              </w:tabs>
              <w:spacing w:after="0" w:line="240"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1">
            <w:pPr>
              <w:tabs>
                <w:tab w:val="left" w:pos="1260"/>
              </w:tabs>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Директору Департаменту містобудування та архітектури виконавчого органу Київської міської ради (Київської міської державної адміністрації)</w:t>
            </w:r>
          </w:p>
          <w:p w:rsidR="00000000" w:rsidDel="00000000" w:rsidP="00000000" w:rsidRDefault="00000000" w:rsidRPr="00000000" w14:paraId="00000022">
            <w:pPr>
              <w:tabs>
                <w:tab w:val="left" w:pos="1260"/>
              </w:tabs>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Свистунову А.В.</w:t>
            </w:r>
          </w:p>
          <w:p w:rsidR="00000000" w:rsidDel="00000000" w:rsidP="00000000" w:rsidRDefault="00000000" w:rsidRPr="00000000" w14:paraId="00000023">
            <w:pPr>
              <w:tabs>
                <w:tab w:val="left" w:pos="1260"/>
              </w:tabs>
              <w:spacing w:after="0" w:line="240"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01001, м. Київ, вул. Хрещатик, 32</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tabs>
          <w:tab w:val="left" w:pos="1260"/>
        </w:tabs>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8">
      <w:pPr>
        <w:shd w:fill="ffffff" w:val="clear"/>
        <w:spacing w:after="0" w:line="240"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Шановний Петро Сергійовичу!</w:t>
      </w:r>
    </w:p>
    <w:p w:rsidR="00000000" w:rsidDel="00000000" w:rsidP="00000000" w:rsidRDefault="00000000" w:rsidRPr="00000000" w14:paraId="00000029">
      <w:pPr>
        <w:shd w:fill="ffffff" w:val="clear"/>
        <w:spacing w:after="0" w:line="240" w:lineRule="auto"/>
        <w:jc w:val="center"/>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sz w:val="28"/>
          <w:szCs w:val="28"/>
          <w:rtl w:val="0"/>
        </w:rPr>
        <w:t xml:space="preserve">Шановний Олександре Вікторовичу!</w:t>
      </w:r>
      <w:r w:rsidDel="00000000" w:rsidR="00000000" w:rsidRPr="00000000">
        <w:rPr>
          <w:rtl w:val="0"/>
        </w:rPr>
      </w:r>
    </w:p>
    <w:p w:rsidR="00000000" w:rsidDel="00000000" w:rsidP="00000000" w:rsidRDefault="00000000" w:rsidRPr="00000000" w14:paraId="0000002A">
      <w:pPr>
        <w:shd w:fill="ffffff" w:val="clea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23.10.2003 року між Київською міською радою та Товариством з обмеженою відповідальністю «Приват» було укладено договір оренди земельної ділянки № 91-6-00178 </w:t>
      </w:r>
      <w:r w:rsidDel="00000000" w:rsidR="00000000" w:rsidRPr="00000000">
        <w:rPr>
          <w:rFonts w:ascii="Times New Roman" w:cs="Times New Roman" w:eastAsia="Times New Roman" w:hAnsi="Times New Roman"/>
          <w:color w:val="000000"/>
          <w:sz w:val="28"/>
          <w:szCs w:val="28"/>
          <w:u w:val="single"/>
          <w:rtl w:val="0"/>
        </w:rPr>
        <w:t xml:space="preserve">для експлуатації та обслуговування адміністративної будівлі</w:t>
      </w:r>
      <w:r w:rsidDel="00000000" w:rsidR="00000000" w:rsidRPr="00000000">
        <w:rPr>
          <w:rFonts w:ascii="Times New Roman" w:cs="Times New Roman" w:eastAsia="Times New Roman" w:hAnsi="Times New Roman"/>
          <w:color w:val="000000"/>
          <w:sz w:val="28"/>
          <w:szCs w:val="28"/>
          <w:rtl w:val="0"/>
        </w:rPr>
        <w:t xml:space="preserve"> на вул. Симона Петлюри, 29 у Шевченківському районі міста Києва (далі -Договір). За умовами Договору ТОВ «Приват» було передано </w:t>
      </w:r>
      <w:r w:rsidDel="00000000" w:rsidR="00000000" w:rsidRPr="00000000">
        <w:rPr>
          <w:rFonts w:ascii="Times New Roman" w:cs="Times New Roman" w:eastAsia="Times New Roman" w:hAnsi="Times New Roman"/>
          <w:color w:val="293a55"/>
          <w:sz w:val="28"/>
          <w:szCs w:val="28"/>
          <w:highlight w:val="white"/>
          <w:rtl w:val="0"/>
        </w:rPr>
        <w:t xml:space="preserve">в </w:t>
      </w:r>
      <w:r w:rsidDel="00000000" w:rsidR="00000000" w:rsidRPr="00000000">
        <w:rPr>
          <w:rFonts w:ascii="Times New Roman" w:cs="Times New Roman" w:eastAsia="Times New Roman" w:hAnsi="Times New Roman"/>
          <w:sz w:val="28"/>
          <w:szCs w:val="28"/>
          <w:highlight w:val="white"/>
          <w:rtl w:val="0"/>
        </w:rPr>
        <w:t xml:space="preserve">довгострокову оренду на 25 років земельну ділянку площею</w:t>
      </w:r>
      <w:r w:rsidDel="00000000" w:rsidR="00000000" w:rsidRPr="00000000">
        <w:rPr>
          <w:rFonts w:ascii="Times New Roman" w:cs="Times New Roman" w:eastAsia="Times New Roman" w:hAnsi="Times New Roman"/>
          <w:sz w:val="28"/>
          <w:szCs w:val="28"/>
          <w:rtl w:val="0"/>
        </w:rPr>
        <w:t xml:space="preserve"> 0,1137 га (кадастровий номер 8000000000:72:077:0007).</w:t>
      </w:r>
    </w:p>
    <w:p w:rsidR="00000000" w:rsidDel="00000000" w:rsidP="00000000" w:rsidRDefault="00000000" w:rsidRPr="00000000" w14:paraId="0000002C">
      <w:pPr>
        <w:shd w:fill="ffffff" w:val="clea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Відповідно до інформації розміщеній в мережі Інтернет - </w:t>
      </w:r>
      <w:hyperlink r:id="rId8">
        <w:r w:rsidDel="00000000" w:rsidR="00000000" w:rsidRPr="00000000">
          <w:rPr>
            <w:rFonts w:ascii="Times New Roman" w:cs="Times New Roman" w:eastAsia="Times New Roman" w:hAnsi="Times New Roman"/>
            <w:color w:val="0000ff"/>
            <w:sz w:val="28"/>
            <w:szCs w:val="28"/>
            <w:u w:val="single"/>
            <w:rtl w:val="0"/>
          </w:rPr>
          <w:t xml:space="preserve">https://www.thevillage.com.ua/village/city/city-news/309139-bilya-tsentralnogo-zaliznichnogo-vokzalu-demontuyut-budinok-schob-pobuduvati-apart-gotel</w:t>
        </w:r>
      </w:hyperlink>
      <w:r w:rsidDel="00000000" w:rsidR="00000000" w:rsidRPr="00000000">
        <w:rPr>
          <w:rFonts w:ascii="Times New Roman" w:cs="Times New Roman" w:eastAsia="Times New Roman" w:hAnsi="Times New Roman"/>
          <w:color w:val="000000"/>
          <w:sz w:val="28"/>
          <w:szCs w:val="28"/>
          <w:rtl w:val="0"/>
        </w:rPr>
        <w:t xml:space="preserve"> , на вказаній земельній ділянці вночі 20 березня 2021 року було розпочато демонтаж вікон, що на думку автора розміщеного матеріалу, може свідчити про початок робіт з проведення реконструкції будівлі.</w:t>
      </w:r>
    </w:p>
    <w:p w:rsidR="00000000" w:rsidDel="00000000" w:rsidP="00000000" w:rsidRDefault="00000000" w:rsidRPr="00000000" w14:paraId="0000002D">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Такі побоювання щодо проведення реконструкції будівлі не безпідставні, адже в 2018 році ТОВ «Приват» </w:t>
      </w:r>
      <w:r w:rsidDel="00000000" w:rsidR="00000000" w:rsidRPr="00000000">
        <w:rPr>
          <w:rFonts w:ascii="Times New Roman" w:cs="Times New Roman" w:eastAsia="Times New Roman" w:hAnsi="Times New Roman"/>
          <w:sz w:val="28"/>
          <w:szCs w:val="28"/>
          <w:rtl w:val="0"/>
        </w:rPr>
        <w:t xml:space="preserve">були видані Містобудівні умови та обмеження для проєктування об’єкту будівництва «Реконструкція адміністративної будівлі під готель» № 843 від 28.08.2018 року. </w:t>
      </w:r>
    </w:p>
    <w:p w:rsidR="00000000" w:rsidDel="00000000" w:rsidP="00000000" w:rsidRDefault="00000000" w:rsidRPr="00000000" w14:paraId="0000002E">
      <w:pPr>
        <w:shd w:fill="ffffff" w:val="clea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F">
      <w:pPr>
        <w:shd w:fill="ffffff" w:val="clea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ab/>
      </w:r>
      <w:r w:rsidDel="00000000" w:rsidR="00000000" w:rsidRPr="00000000">
        <w:rPr>
          <w:rFonts w:ascii="Times New Roman" w:cs="Times New Roman" w:eastAsia="Times New Roman" w:hAnsi="Times New Roman"/>
          <w:sz w:val="28"/>
          <w:szCs w:val="28"/>
          <w:rtl w:val="0"/>
        </w:rPr>
        <w:t xml:space="preserve">Викладені вище обставини можуть свідчити про використання земельної ділянки ТОВ «Приват» не за цільовим призначенням, тому керуючись статтею 13 Закону України «Про статус депутатів місцевих рад», статтею 20 Регламенту Київської міської ради прошу Вас в межах компетенції:</w:t>
      </w:r>
    </w:p>
    <w:p w:rsidR="00000000" w:rsidDel="00000000" w:rsidP="00000000" w:rsidRDefault="00000000" w:rsidRPr="00000000" w14:paraId="00000030">
      <w:pPr>
        <w:numPr>
          <w:ilvl w:val="0"/>
          <w:numId w:val="1"/>
        </w:numPr>
        <w:tabs>
          <w:tab w:val="left" w:pos="709"/>
        </w:tabs>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надати інформацію щодо статусу вказаної земельної ділянки, зокрема, але не обмежуючись, щодо:</w:t>
      </w:r>
      <w:r w:rsidDel="00000000" w:rsidR="00000000" w:rsidRPr="00000000">
        <w:rPr>
          <w:rtl w:val="0"/>
        </w:rPr>
      </w:r>
    </w:p>
    <w:p w:rsidR="00000000" w:rsidDel="00000000" w:rsidP="00000000" w:rsidRDefault="00000000" w:rsidRPr="00000000" w14:paraId="00000031">
      <w:pPr>
        <w:numPr>
          <w:ilvl w:val="0"/>
          <w:numId w:val="2"/>
        </w:numPr>
        <w:tabs>
          <w:tab w:val="left" w:pos="709"/>
        </w:tabs>
        <w:spacing w:after="0" w:line="240" w:lineRule="auto"/>
        <w:ind w:left="1080" w:hanging="360"/>
        <w:jc w:val="both"/>
        <w:rPr>
          <w:sz w:val="28"/>
          <w:szCs w:val="28"/>
        </w:rPr>
      </w:pPr>
      <w:r w:rsidDel="00000000" w:rsidR="00000000" w:rsidRPr="00000000">
        <w:rPr>
          <w:rFonts w:ascii="Times New Roman" w:cs="Times New Roman" w:eastAsia="Times New Roman" w:hAnsi="Times New Roman"/>
          <w:sz w:val="28"/>
          <w:szCs w:val="28"/>
          <w:rtl w:val="0"/>
        </w:rPr>
        <w:t xml:space="preserve">типу власності в якій перебуває земельна ділянка;</w:t>
      </w:r>
    </w:p>
    <w:p w:rsidR="00000000" w:rsidDel="00000000" w:rsidP="00000000" w:rsidRDefault="00000000" w:rsidRPr="00000000" w14:paraId="00000032">
      <w:pPr>
        <w:numPr>
          <w:ilvl w:val="0"/>
          <w:numId w:val="2"/>
        </w:numPr>
        <w:tabs>
          <w:tab w:val="left" w:pos="709"/>
        </w:tabs>
        <w:spacing w:after="0" w:line="240" w:lineRule="auto"/>
        <w:ind w:left="108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землекористувача та балансоутримувача земельної ділянки;</w:t>
      </w:r>
    </w:p>
    <w:p w:rsidR="00000000" w:rsidDel="00000000" w:rsidP="00000000" w:rsidRDefault="00000000" w:rsidRPr="00000000" w14:paraId="00000033">
      <w:pPr>
        <w:numPr>
          <w:ilvl w:val="0"/>
          <w:numId w:val="2"/>
        </w:numPr>
        <w:tabs>
          <w:tab w:val="left" w:pos="709"/>
        </w:tabs>
        <w:spacing w:after="0" w:line="240" w:lineRule="auto"/>
        <w:ind w:left="1080" w:hanging="360"/>
        <w:jc w:val="both"/>
        <w:rPr>
          <w:sz w:val="28"/>
          <w:szCs w:val="28"/>
        </w:rPr>
      </w:pPr>
      <w:r w:rsidDel="00000000" w:rsidR="00000000" w:rsidRPr="00000000">
        <w:rPr>
          <w:rFonts w:ascii="Times New Roman" w:cs="Times New Roman" w:eastAsia="Times New Roman" w:hAnsi="Times New Roman"/>
          <w:sz w:val="28"/>
          <w:szCs w:val="28"/>
          <w:rtl w:val="0"/>
        </w:rPr>
        <w:t xml:space="preserve">підстав передачі у користування земельної ділянки;</w:t>
      </w:r>
    </w:p>
    <w:p w:rsidR="00000000" w:rsidDel="00000000" w:rsidP="00000000" w:rsidRDefault="00000000" w:rsidRPr="00000000" w14:paraId="00000034">
      <w:pPr>
        <w:numPr>
          <w:ilvl w:val="0"/>
          <w:numId w:val="2"/>
        </w:numPr>
        <w:tabs>
          <w:tab w:val="left" w:pos="709"/>
        </w:tabs>
        <w:spacing w:after="0" w:line="240" w:lineRule="auto"/>
        <w:ind w:left="1080" w:hanging="360"/>
        <w:jc w:val="both"/>
        <w:rPr>
          <w:sz w:val="28"/>
          <w:szCs w:val="28"/>
        </w:rPr>
      </w:pPr>
      <w:r w:rsidDel="00000000" w:rsidR="00000000" w:rsidRPr="00000000">
        <w:rPr>
          <w:rFonts w:ascii="Times New Roman" w:cs="Times New Roman" w:eastAsia="Times New Roman" w:hAnsi="Times New Roman"/>
          <w:sz w:val="28"/>
          <w:szCs w:val="28"/>
          <w:rtl w:val="0"/>
        </w:rPr>
        <w:t xml:space="preserve">умови користування земельною ділянкою;</w:t>
      </w:r>
    </w:p>
    <w:p w:rsidR="00000000" w:rsidDel="00000000" w:rsidP="00000000" w:rsidRDefault="00000000" w:rsidRPr="00000000" w14:paraId="00000035">
      <w:pPr>
        <w:numPr>
          <w:ilvl w:val="0"/>
          <w:numId w:val="2"/>
        </w:numPr>
        <w:tabs>
          <w:tab w:val="left" w:pos="709"/>
        </w:tabs>
        <w:spacing w:after="0" w:line="240" w:lineRule="auto"/>
        <w:ind w:left="108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вид використання земельної ділянки та її цільове призначення.</w:t>
      </w:r>
    </w:p>
    <w:p w:rsidR="00000000" w:rsidDel="00000000" w:rsidP="00000000" w:rsidRDefault="00000000" w:rsidRPr="00000000" w14:paraId="00000036">
      <w:pPr>
        <w:numPr>
          <w:ilvl w:val="0"/>
          <w:numId w:val="1"/>
        </w:numPr>
        <w:tabs>
          <w:tab w:val="left" w:pos="709"/>
        </w:tabs>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надати інформацію щодо видачі містобудівної документації та/або дозвільних документів щодо проведення робіт з реконструкції будівлі </w:t>
      </w:r>
      <w:r w:rsidDel="00000000" w:rsidR="00000000" w:rsidRPr="00000000">
        <w:rPr>
          <w:rFonts w:ascii="Times New Roman" w:cs="Times New Roman" w:eastAsia="Times New Roman" w:hAnsi="Times New Roman"/>
          <w:color w:val="000000"/>
          <w:sz w:val="28"/>
          <w:szCs w:val="28"/>
          <w:rtl w:val="0"/>
        </w:rPr>
        <w:t xml:space="preserve">на вул. Симона Петлюри, 29 у Шевченківському районі міста Києва </w:t>
      </w:r>
      <w:r w:rsidDel="00000000" w:rsidR="00000000" w:rsidRPr="00000000">
        <w:rPr>
          <w:rFonts w:ascii="Times New Roman" w:cs="Times New Roman" w:eastAsia="Times New Roman" w:hAnsi="Times New Roman"/>
          <w:sz w:val="28"/>
          <w:szCs w:val="28"/>
          <w:rtl w:val="0"/>
        </w:rPr>
        <w:t xml:space="preserve">(кадастровий номер земельної ділянки 8000000000:72:077:0007).</w:t>
      </w:r>
    </w:p>
    <w:p w:rsidR="00000000" w:rsidDel="00000000" w:rsidP="00000000" w:rsidRDefault="00000000" w:rsidRPr="00000000" w14:paraId="00000037">
      <w:pPr>
        <w:numPr>
          <w:ilvl w:val="0"/>
          <w:numId w:val="1"/>
        </w:numPr>
        <w:tabs>
          <w:tab w:val="left" w:pos="709"/>
        </w:tabs>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надати копії первинних документів, що підтверджують інформацію, яка буде надана у відповідь на дане депутатське звернення;</w:t>
      </w:r>
    </w:p>
    <w:p w:rsidR="00000000" w:rsidDel="00000000" w:rsidP="00000000" w:rsidRDefault="00000000" w:rsidRPr="00000000" w14:paraId="00000038">
      <w:pPr>
        <w:numPr>
          <w:ilvl w:val="0"/>
          <w:numId w:val="1"/>
        </w:numPr>
        <w:tabs>
          <w:tab w:val="left" w:pos="709"/>
        </w:tabs>
        <w:spacing w:after="0"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провести перевірку обставин викладених у даному зверненні, зокрема щодо законності проведення будівельних робіт з реконструкції будівлі </w:t>
      </w:r>
      <w:r w:rsidDel="00000000" w:rsidR="00000000" w:rsidRPr="00000000">
        <w:rPr>
          <w:rFonts w:ascii="Times New Roman" w:cs="Times New Roman" w:eastAsia="Times New Roman" w:hAnsi="Times New Roman"/>
          <w:color w:val="000000"/>
          <w:sz w:val="28"/>
          <w:szCs w:val="28"/>
          <w:rtl w:val="0"/>
        </w:rPr>
        <w:t xml:space="preserve">на вул. Симона Петлюри, 29 у Шевченківському районі міста Києва </w:t>
      </w:r>
      <w:r w:rsidDel="00000000" w:rsidR="00000000" w:rsidRPr="00000000">
        <w:rPr>
          <w:rFonts w:ascii="Times New Roman" w:cs="Times New Roman" w:eastAsia="Times New Roman" w:hAnsi="Times New Roman"/>
          <w:sz w:val="28"/>
          <w:szCs w:val="28"/>
          <w:rtl w:val="0"/>
        </w:rPr>
        <w:t xml:space="preserve">(кадастровий номер земельної ділянки 8000000000:72:077:0007), а також щодо використання вказаної земельної ділянки за цільовим призначенням, у спосіб та строки встановленні законодавством.</w:t>
      </w:r>
    </w:p>
    <w:p w:rsidR="00000000" w:rsidDel="00000000" w:rsidP="00000000" w:rsidRDefault="00000000" w:rsidRPr="00000000" w14:paraId="00000039">
      <w:pPr>
        <w:spacing w:after="0" w:line="240" w:lineRule="auto"/>
        <w:ind w:left="1069"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 результати розгляду депутатського звернення прошу повідомити мене за адресою: 01044, м. Київ, вул. Хрещатик 36, каб. 419, а також на електронну адресу: </w:t>
      </w:r>
      <w:hyperlink r:id="rId9">
        <w:r w:rsidDel="00000000" w:rsidR="00000000" w:rsidRPr="00000000">
          <w:rPr>
            <w:rFonts w:ascii="Times New Roman" w:cs="Times New Roman" w:eastAsia="Times New Roman" w:hAnsi="Times New Roman"/>
            <w:color w:val="1a73e8"/>
            <w:sz w:val="28"/>
            <w:szCs w:val="28"/>
            <w:highlight w:val="white"/>
            <w:u w:val="single"/>
            <w:rtl w:val="0"/>
          </w:rPr>
          <w:t xml:space="preserve">kuleba.yevheniia@gmail.com</w:t>
        </w:r>
      </w:hyperlink>
      <w:r w:rsidDel="00000000" w:rsidR="00000000" w:rsidRPr="00000000">
        <w:rPr>
          <w:rFonts w:ascii="Times New Roman" w:cs="Times New Roman" w:eastAsia="Times New Roman" w:hAnsi="Times New Roman"/>
          <w:sz w:val="28"/>
          <w:szCs w:val="28"/>
          <w:rtl w:val="0"/>
        </w:rPr>
        <w:t xml:space="preserve"> протягом строку, встановленого законодавством. </w:t>
      </w:r>
    </w:p>
    <w:p w:rsidR="00000000" w:rsidDel="00000000" w:rsidP="00000000" w:rsidRDefault="00000000" w:rsidRPr="00000000" w14:paraId="0000003B">
      <w:pPr>
        <w:spacing w:after="0" w:line="240" w:lineRule="auto"/>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повагою, </w:t>
      </w:r>
    </w:p>
    <w:p w:rsidR="00000000" w:rsidDel="00000000" w:rsidP="00000000" w:rsidRDefault="00000000" w:rsidRPr="00000000" w14:paraId="0000003E">
      <w:pPr>
        <w:tabs>
          <w:tab w:val="left" w:pos="1260"/>
        </w:tabs>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8"/>
          <w:szCs w:val="28"/>
          <w:rtl w:val="0"/>
        </w:rPr>
        <w:t xml:space="preserve">депутатка Київської міської ради      </w:t>
        <w:tab/>
        <w:tab/>
        <w:t xml:space="preserve">____________ </w:t>
        <w:tab/>
        <w:t xml:space="preserve">    Євгенія Кулеба</w:t>
      </w:r>
      <w:r w:rsidDel="00000000" w:rsidR="00000000" w:rsidRPr="00000000">
        <w:rPr>
          <w:rtl w:val="0"/>
        </w:rPr>
      </w:r>
    </w:p>
    <w:p w:rsidR="00000000" w:rsidDel="00000000" w:rsidP="00000000" w:rsidRDefault="00000000" w:rsidRPr="00000000" w14:paraId="0000003F">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0">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1">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2">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3">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4">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5">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6">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7">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8">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9">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A">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B">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C">
      <w:pPr>
        <w:shd w:fill="ffffff" w:val="clear"/>
        <w:spacing w:after="0" w:lineRule="auto"/>
        <w:jc w:val="both"/>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4D">
      <w:pPr>
        <w:shd w:fill="ffffff" w:val="clear"/>
        <w:spacing w:after="0" w:lineRule="auto"/>
        <w:jc w:val="both"/>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вик.:Яговенко І.О.</w:t>
      </w:r>
    </w:p>
    <w:p w:rsidR="00000000" w:rsidDel="00000000" w:rsidP="00000000" w:rsidRDefault="00000000" w:rsidRPr="00000000" w14:paraId="0000004E">
      <w:pPr>
        <w:shd w:fill="ffffff" w:val="clear"/>
        <w:spacing w:after="0" w:lineRule="auto"/>
        <w:jc w:val="both"/>
        <w:rPr/>
      </w:pPr>
      <w:r w:rsidDel="00000000" w:rsidR="00000000" w:rsidRPr="00000000">
        <w:rPr>
          <w:rFonts w:ascii="Times New Roman" w:cs="Times New Roman" w:eastAsia="Times New Roman" w:hAnsi="Times New Roman"/>
          <w:sz w:val="16"/>
          <w:szCs w:val="16"/>
          <w:rtl w:val="0"/>
        </w:rPr>
        <w:t xml:space="preserve">тел.: (068) 1281328</w:t>
      </w:r>
      <w:r w:rsidDel="00000000" w:rsidR="00000000" w:rsidRPr="00000000">
        <w:rPr>
          <w:rtl w:val="0"/>
        </w:rPr>
      </w:r>
    </w:p>
    <w:sectPr>
      <w:pgSz w:h="16838" w:w="11906" w:orient="portrait"/>
      <w:pgMar w:bottom="851" w:top="568" w:left="1134" w:right="850" w:header="708" w:footer="1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 w:name="Benguiat Ru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uleba.yevheniia@gmail.co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thevillage.com.ua/village/city/city-news/309139-bilya-tsentralnogo-zaliznichnogo-vokzalu-demontuyut-budinok-schob-pobuduvati-apart-go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