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5" w:type="dxa"/>
        <w:jc w:val="center"/>
        <w:tblCellSpacing w:w="0" w:type="dxa"/>
        <w:tblBorders>
          <w:left w:val="single" w:sz="6" w:space="0" w:color="DFEFFF"/>
          <w:bottom w:val="single" w:sz="6" w:space="0" w:color="DFEFFF"/>
          <w:right w:val="single" w:sz="6" w:space="0" w:color="DFE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0"/>
      </w:tblGrid>
      <w:tr w:rsidR="0053118E" w:rsidRPr="0053118E" w:rsidTr="0053118E">
        <w:trPr>
          <w:trHeight w:val="26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118E" w:rsidRPr="0053118E" w:rsidRDefault="0053118E" w:rsidP="005311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3118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0" cy="1704975"/>
                  <wp:effectExtent l="0" t="0" r="0" b="9525"/>
                  <wp:docPr id="2" name="Рисунок 2" descr="http://kmr.ligazakon.ua/l_flib1.nsf/LookupFiles/header.jpg/$file/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header.jpg/$file/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18E" w:rsidRPr="0053118E" w:rsidTr="0053118E">
        <w:trPr>
          <w:tblCellSpacing w:w="0" w:type="dxa"/>
          <w:jc w:val="center"/>
        </w:trPr>
        <w:tc>
          <w:tcPr>
            <w:tcW w:w="0" w:type="auto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53118E" w:rsidRPr="0053118E" w:rsidRDefault="0053118E" w:rsidP="005311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" w:name="1"/>
            <w:bookmarkEnd w:id="1"/>
            <w:r w:rsidRPr="0053118E">
              <w:rPr>
                <w:rFonts w:ascii="Arial" w:eastAsia="Times New Roman" w:hAnsi="Arial" w:cs="Arial"/>
                <w:noProof/>
                <w:color w:val="264969"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838200"/>
                  <wp:effectExtent l="0" t="0" r="0" b="0"/>
                  <wp:docPr id="1" name="Рисунок 1" descr="http://kmr.ligazakon.ua/l_flib1.nsf/LookupFiles/TSIGN.GIF/$file/T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TSIGN.GIF/$file/T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" w:name="2"/>
            <w:bookmarkEnd w:id="2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>КИЇВСЬКА МІСЬКА РАДА</w:t>
            </w:r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br/>
            </w:r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сесія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скликання</w:t>
            </w:r>
            <w:proofErr w:type="spellEnd"/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</w:pPr>
            <w:bookmarkStart w:id="3" w:name="3"/>
            <w:bookmarkEnd w:id="3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>РІШЕННЯ</w:t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4" w:name="4"/>
            <w:bookmarkEnd w:id="4"/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від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28 листопада 2017 року N 679/3686</w:t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</w:pPr>
            <w:bookmarkStart w:id="5" w:name="5"/>
            <w:bookmarkEnd w:id="5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 xml:space="preserve">Про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>затвердження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 xml:space="preserve"> детального плану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>території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 xml:space="preserve"> в межах бульвару Перова,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>вулиць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 xml:space="preserve"> Сулеймана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>Стальського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 xml:space="preserve">, Петра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>Вершигори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 xml:space="preserve">, проспекту Генерала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>Ватутіна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 xml:space="preserve"> у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>Дніпровському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>районі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 xml:space="preserve"> м.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ru-RU"/>
              </w:rPr>
              <w:t>Києва</w:t>
            </w:r>
            <w:proofErr w:type="spellEnd"/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6" w:name="6"/>
            <w:bookmarkEnd w:id="6"/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статті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19 Закону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України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" та Закону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України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місцеве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Україні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рішення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міської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від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13.11.2013 N 518/10006 "Про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міської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у м.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Києві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Київська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міська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рада 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вирішила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:</w:t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7" w:name="7"/>
            <w:bookmarkEnd w:id="7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1. Внести до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рішення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міської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від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13.11.2013 N 518/10006 "Про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міської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у м.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Києві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такі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зміни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:</w:t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8" w:name="8"/>
            <w:bookmarkEnd w:id="8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позицію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83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Переліку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) у м.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Києві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у 2013 - 2017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рр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. (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додаток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в м.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Києві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викласти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такій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редакції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6553"/>
              <w:gridCol w:w="1645"/>
              <w:gridCol w:w="1667"/>
            </w:tblGrid>
            <w:tr w:rsidR="0053118E" w:rsidRPr="0053118E" w:rsidTr="0053118E">
              <w:trPr>
                <w:tblCellSpacing w:w="22" w:type="dxa"/>
              </w:trPr>
              <w:tc>
                <w:tcPr>
                  <w:tcW w:w="4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9" w:name="9"/>
                  <w:bookmarkEnd w:id="9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83.</w:t>
                  </w:r>
                </w:p>
              </w:tc>
              <w:tc>
                <w:tcPr>
                  <w:tcW w:w="30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0" w:name="10"/>
                  <w:bookmarkEnd w:id="10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ДПТ в межах бульвару Перова,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вулиць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Сулеймана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Стальського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, Петра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Вершигори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,</w:t>
                  </w:r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br/>
                    <w:t xml:space="preserve">проспекту Генерала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Ватутіна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Дніпровському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районі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м.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7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1" w:name="11"/>
                  <w:bookmarkEnd w:id="11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5.1.010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2" w:name="12"/>
                  <w:bookmarkEnd w:id="12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</w:tr>
          </w:tbl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br w:type="textWrapping" w:clear="all"/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3" w:name="13"/>
            <w:bookmarkEnd w:id="13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детальний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в межах бульвару Перова,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вулиць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Сулеймана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Стальського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, Петра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Вершигори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, проспекту Генерала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Ватутіна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Дніпровському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районі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Києва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основних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техніко-економічних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техніко-економічні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основні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графічними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матеріалами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що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додаються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, як основу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планувальної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функціонального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просторової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композиції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параметрів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забудови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червоних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ліній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вулиць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доріг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ландшафтної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місцевості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.</w:t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4" w:name="14"/>
            <w:bookmarkEnd w:id="14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Офіційно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оприлюднити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це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рішення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газеті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міської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ради "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Хрещатик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" та на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сайті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міської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ради.</w:t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5" w:name="15"/>
            <w:bookmarkEnd w:id="15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4. Контроль за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цього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рішення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покласти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постійну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комісію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міської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питань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архітектури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землекористування</w:t>
            </w:r>
            <w:proofErr w:type="spellEnd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.</w:t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6" w:name="16"/>
            <w:bookmarkEnd w:id="16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5445"/>
            </w:tblGrid>
            <w:tr w:rsidR="0053118E" w:rsidRPr="0053118E" w:rsidTr="0053118E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7" w:name="17"/>
                  <w:bookmarkEnd w:id="17"/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b/>
                      <w:bCs/>
                      <w:color w:val="264969"/>
                      <w:sz w:val="24"/>
                      <w:szCs w:val="24"/>
                      <w:lang w:eastAsia="ru-RU"/>
                    </w:rPr>
                    <w:t>Київський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b/>
                      <w:bCs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b/>
                      <w:bCs/>
                      <w:color w:val="264969"/>
                      <w:sz w:val="24"/>
                      <w:szCs w:val="24"/>
                      <w:lang w:eastAsia="ru-RU"/>
                    </w:rPr>
                    <w:t>міський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b/>
                      <w:bCs/>
                      <w:color w:val="264969"/>
                      <w:sz w:val="24"/>
                      <w:szCs w:val="24"/>
                      <w:lang w:eastAsia="ru-RU"/>
                    </w:rPr>
                    <w:t xml:space="preserve"> голова</w:t>
                  </w:r>
                </w:p>
              </w:tc>
              <w:tc>
                <w:tcPr>
                  <w:tcW w:w="250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8" w:name="18"/>
                  <w:bookmarkEnd w:id="18"/>
                  <w:r w:rsidRPr="0053118E">
                    <w:rPr>
                      <w:rFonts w:ascii="Times New Roman" w:eastAsia="Times New Roman" w:hAnsi="Times New Roman" w:cs="Times New Roman"/>
                      <w:b/>
                      <w:bCs/>
                      <w:color w:val="264969"/>
                      <w:sz w:val="24"/>
                      <w:szCs w:val="24"/>
                      <w:lang w:eastAsia="ru-RU"/>
                    </w:rPr>
                    <w:t>В. Кличко</w:t>
                  </w:r>
                </w:p>
              </w:tc>
            </w:tr>
          </w:tbl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br w:type="textWrapping" w:clear="all"/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9" w:name="19"/>
            <w:bookmarkEnd w:id="19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90"/>
            </w:tblGrid>
            <w:tr w:rsidR="0053118E" w:rsidRPr="0053118E" w:rsidTr="005311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0"/>
                  </w:tblGrid>
                  <w:tr w:rsidR="0053118E" w:rsidRPr="0053118E">
                    <w:trPr>
                      <w:tblCellSpacing w:w="22" w:type="dxa"/>
                    </w:trPr>
                    <w:tc>
                      <w:tcPr>
                        <w:tcW w:w="5000" w:type="pct"/>
                        <w:hideMark/>
                      </w:tcPr>
                      <w:p w:rsidR="0053118E" w:rsidRPr="0053118E" w:rsidRDefault="0053118E" w:rsidP="005311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264969"/>
                            <w:sz w:val="24"/>
                            <w:szCs w:val="24"/>
                            <w:lang w:eastAsia="ru-RU"/>
                          </w:rPr>
                        </w:pPr>
                        <w:bookmarkStart w:id="20" w:name="20"/>
                        <w:bookmarkEnd w:id="20"/>
                        <w:proofErr w:type="spellStart"/>
                        <w:r w:rsidRPr="0053118E">
                          <w:rPr>
                            <w:rFonts w:ascii="Times New Roman" w:eastAsia="Times New Roman" w:hAnsi="Times New Roman" w:cs="Times New Roman"/>
                            <w:color w:val="264969"/>
                            <w:sz w:val="24"/>
                            <w:szCs w:val="24"/>
                            <w:lang w:eastAsia="ru-RU"/>
                          </w:rPr>
                          <w:t>Додаток</w:t>
                        </w:r>
                        <w:proofErr w:type="spellEnd"/>
                        <w:r w:rsidRPr="0053118E">
                          <w:rPr>
                            <w:rFonts w:ascii="Times New Roman" w:eastAsia="Times New Roman" w:hAnsi="Times New Roman" w:cs="Times New Roman"/>
                            <w:color w:val="264969"/>
                            <w:sz w:val="24"/>
                            <w:szCs w:val="24"/>
                            <w:lang w:eastAsia="ru-RU"/>
                          </w:rPr>
                          <w:br/>
                          <w:t xml:space="preserve">до </w:t>
                        </w:r>
                        <w:proofErr w:type="spellStart"/>
                        <w:r w:rsidRPr="0053118E">
                          <w:rPr>
                            <w:rFonts w:ascii="Times New Roman" w:eastAsia="Times New Roman" w:hAnsi="Times New Roman" w:cs="Times New Roman"/>
                            <w:color w:val="264969"/>
                            <w:sz w:val="24"/>
                            <w:szCs w:val="24"/>
                            <w:lang w:eastAsia="ru-RU"/>
                          </w:rPr>
                          <w:t>рішення</w:t>
                        </w:r>
                        <w:proofErr w:type="spellEnd"/>
                        <w:r w:rsidRPr="0053118E">
                          <w:rPr>
                            <w:rFonts w:ascii="Times New Roman" w:eastAsia="Times New Roman" w:hAnsi="Times New Roman" w:cs="Times New Roman"/>
                            <w:color w:val="26496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3118E">
                          <w:rPr>
                            <w:rFonts w:ascii="Times New Roman" w:eastAsia="Times New Roman" w:hAnsi="Times New Roman" w:cs="Times New Roman"/>
                            <w:color w:val="264969"/>
                            <w:sz w:val="24"/>
                            <w:szCs w:val="24"/>
                            <w:lang w:eastAsia="ru-RU"/>
                          </w:rPr>
                          <w:t>Київської</w:t>
                        </w:r>
                        <w:proofErr w:type="spellEnd"/>
                        <w:r w:rsidRPr="0053118E">
                          <w:rPr>
                            <w:rFonts w:ascii="Times New Roman" w:eastAsia="Times New Roman" w:hAnsi="Times New Roman" w:cs="Times New Roman"/>
                            <w:color w:val="26496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3118E">
                          <w:rPr>
                            <w:rFonts w:ascii="Times New Roman" w:eastAsia="Times New Roman" w:hAnsi="Times New Roman" w:cs="Times New Roman"/>
                            <w:color w:val="264969"/>
                            <w:sz w:val="24"/>
                            <w:szCs w:val="24"/>
                            <w:lang w:eastAsia="ru-RU"/>
                          </w:rPr>
                          <w:t>міської</w:t>
                        </w:r>
                        <w:proofErr w:type="spellEnd"/>
                        <w:r w:rsidRPr="0053118E">
                          <w:rPr>
                            <w:rFonts w:ascii="Times New Roman" w:eastAsia="Times New Roman" w:hAnsi="Times New Roman" w:cs="Times New Roman"/>
                            <w:color w:val="264969"/>
                            <w:sz w:val="24"/>
                            <w:szCs w:val="24"/>
                            <w:lang w:eastAsia="ru-RU"/>
                          </w:rPr>
                          <w:t xml:space="preserve"> ради</w:t>
                        </w:r>
                        <w:r w:rsidRPr="0053118E">
                          <w:rPr>
                            <w:rFonts w:ascii="Times New Roman" w:eastAsia="Times New Roman" w:hAnsi="Times New Roman" w:cs="Times New Roman"/>
                            <w:color w:val="264969"/>
                            <w:sz w:val="24"/>
                            <w:szCs w:val="24"/>
                            <w:lang w:eastAsia="ru-RU"/>
                          </w:rPr>
                          <w:br/>
                          <w:t>28.11.2017 N 679/3686</w:t>
                        </w:r>
                      </w:p>
                    </w:tc>
                  </w:tr>
                </w:tbl>
                <w:p w:rsidR="0053118E" w:rsidRPr="0053118E" w:rsidRDefault="0053118E" w:rsidP="00531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br w:type="textWrapping" w:clear="all"/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</w:pPr>
            <w:bookmarkStart w:id="21" w:name="21"/>
            <w:bookmarkEnd w:id="21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 xml:space="preserve">ОСНОВНІ ТЕХНІКО-ЕКОНОМІЧНІ ПОКАЗНИКИ ДЕТАЛЬНОГО ПЛАНУ ТЕРИТОРІЇ в межах бульвару Перова,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>вулиць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 xml:space="preserve"> Сулеймана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>Стальського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 xml:space="preserve">, Петра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>Вершигори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 xml:space="preserve">, просп. Генерала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>Ватутіна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>Дніпровському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>районі</w:t>
            </w:r>
            <w:proofErr w:type="spellEnd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 xml:space="preserve"> м. </w:t>
            </w:r>
            <w:proofErr w:type="spellStart"/>
            <w:r w:rsidRPr="0053118E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ru-RU"/>
              </w:rPr>
              <w:t>Києва</w:t>
            </w:r>
            <w:proofErr w:type="spellEnd"/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4277"/>
              <w:gridCol w:w="1420"/>
              <w:gridCol w:w="1420"/>
              <w:gridCol w:w="1420"/>
              <w:gridCol w:w="1547"/>
            </w:tblGrid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vMerge w:val="restar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22" w:name="22"/>
                  <w:bookmarkEnd w:id="22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23" w:name="23"/>
                  <w:bookmarkEnd w:id="23"/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Назва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показників</w:t>
                  </w:r>
                  <w:proofErr w:type="spellEnd"/>
                </w:p>
              </w:tc>
              <w:tc>
                <w:tcPr>
                  <w:tcW w:w="650" w:type="pct"/>
                  <w:vMerge w:val="restar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24" w:name="24"/>
                  <w:bookmarkEnd w:id="24"/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Одиниця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виміру</w:t>
                  </w:r>
                  <w:proofErr w:type="spellEnd"/>
                </w:p>
              </w:tc>
              <w:tc>
                <w:tcPr>
                  <w:tcW w:w="2000" w:type="pct"/>
                  <w:gridSpan w:val="3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25" w:name="25"/>
                  <w:bookmarkEnd w:id="25"/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Значення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показників</w:t>
                  </w:r>
                  <w:proofErr w:type="spellEnd"/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0" w:type="auto"/>
                  <w:vMerge/>
                  <w:hideMark/>
                </w:tcPr>
                <w:p w:rsidR="0053118E" w:rsidRPr="0053118E" w:rsidRDefault="0053118E" w:rsidP="00531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53118E" w:rsidRPr="0053118E" w:rsidRDefault="0053118E" w:rsidP="00531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53118E" w:rsidRPr="0053118E" w:rsidRDefault="0053118E" w:rsidP="00531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26" w:name="26"/>
                  <w:bookmarkEnd w:id="26"/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Існуючий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стан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27" w:name="27"/>
                  <w:bookmarkEnd w:id="27"/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Етап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7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років</w:t>
                  </w:r>
                  <w:proofErr w:type="spellEnd"/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28" w:name="28"/>
                  <w:bookmarkEnd w:id="28"/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Етап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20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років</w:t>
                  </w:r>
                  <w:proofErr w:type="spellEnd"/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vAlign w:val="bottom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29" w:name="29"/>
                  <w:bookmarkEnd w:id="29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0" w:type="pct"/>
                  <w:vAlign w:val="bottom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30" w:name="30"/>
                  <w:bookmarkEnd w:id="30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31" w:name="31"/>
                  <w:bookmarkEnd w:id="31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32" w:name="32"/>
                  <w:bookmarkEnd w:id="32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33" w:name="33"/>
                  <w:bookmarkEnd w:id="33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34" w:name="34"/>
                  <w:bookmarkEnd w:id="34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35" w:name="35"/>
                  <w:bookmarkEnd w:id="35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00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36" w:name="36"/>
                  <w:bookmarkEnd w:id="36"/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Територія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в межах проекту, у тому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числі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37" w:name="37"/>
                  <w:bookmarkEnd w:id="37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га/%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38" w:name="38"/>
                  <w:bookmarkEnd w:id="38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138,56 / 100,00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39" w:name="39"/>
                  <w:bookmarkEnd w:id="39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138,56 / 100,00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40" w:name="40"/>
                  <w:bookmarkEnd w:id="40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138,56 / 100,00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41" w:name="41"/>
                  <w:bookmarkEnd w:id="41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200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42" w:name="42"/>
                  <w:bookmarkEnd w:id="42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житлова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забудова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, у тому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числі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43" w:name="43"/>
                  <w:bookmarkEnd w:id="43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44" w:name="44"/>
                  <w:bookmarkEnd w:id="44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56,69 / 40,91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45" w:name="45"/>
                  <w:bookmarkEnd w:id="45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58,46 / 42,19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46" w:name="46"/>
                  <w:bookmarkEnd w:id="46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58,25 / 42,04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47" w:name="47"/>
                  <w:bookmarkEnd w:id="47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48" w:name="48"/>
                  <w:bookmarkEnd w:id="48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а)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квартали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садибної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забудови</w:t>
                  </w:r>
                  <w:proofErr w:type="spellEnd"/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49" w:name="49"/>
                  <w:bookmarkEnd w:id="49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50" w:name="50"/>
                  <w:bookmarkEnd w:id="50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51" w:name="51"/>
                  <w:bookmarkEnd w:id="51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52" w:name="52"/>
                  <w:bookmarkEnd w:id="52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53" w:name="53"/>
                  <w:bookmarkEnd w:id="53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0" w:type="pct"/>
                  <w:vAlign w:val="bottom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54" w:name="54"/>
                  <w:bookmarkEnd w:id="54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б)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квартали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багатоквартирної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забудови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(з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урахуванням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гуртожитків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55" w:name="55"/>
                  <w:bookmarkEnd w:id="55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56" w:name="56"/>
                  <w:bookmarkEnd w:id="56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56,69 / 40,91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57" w:name="57"/>
                  <w:bookmarkEnd w:id="57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58,46 / 42,19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58" w:name="58"/>
                  <w:bookmarkEnd w:id="58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58,25 / 42,04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59" w:name="59"/>
                  <w:bookmarkEnd w:id="59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2000" w:type="pct"/>
                  <w:vAlign w:val="bottom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60" w:name="60"/>
                  <w:bookmarkEnd w:id="60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ділянки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установ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підприємств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обслуговування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крім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підприємств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установ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мікрорайонного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значення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61" w:name="61"/>
                  <w:bookmarkEnd w:id="61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62" w:name="62"/>
                  <w:bookmarkEnd w:id="62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8,85 / 6,39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63" w:name="63"/>
                  <w:bookmarkEnd w:id="63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9,91 / 7,15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64" w:name="64"/>
                  <w:bookmarkEnd w:id="64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9,91 / 7,15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65" w:name="65"/>
                  <w:bookmarkEnd w:id="65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lastRenderedPageBreak/>
                    <w:t>1.3.</w:t>
                  </w:r>
                </w:p>
              </w:tc>
              <w:tc>
                <w:tcPr>
                  <w:tcW w:w="2000" w:type="pct"/>
                  <w:vAlign w:val="bottom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66" w:name="66"/>
                  <w:bookmarkEnd w:id="66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зелені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насадження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крім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зелених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насаджень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мікрорайонного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значення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), у тому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числі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67" w:name="67"/>
                  <w:bookmarkEnd w:id="67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68" w:name="68"/>
                  <w:bookmarkEnd w:id="68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18,88 / 13,63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69" w:name="69"/>
                  <w:bookmarkEnd w:id="69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22,61 / 16,32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70" w:name="70"/>
                  <w:bookmarkEnd w:id="70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22,61 / 16,32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71" w:name="71"/>
                  <w:bookmarkEnd w:id="71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72" w:name="72"/>
                  <w:bookmarkEnd w:id="72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зелених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насаджень</w:t>
                  </w:r>
                  <w:proofErr w:type="spellEnd"/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73" w:name="73"/>
                  <w:bookmarkEnd w:id="73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74" w:name="74"/>
                  <w:bookmarkEnd w:id="74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8,85 / 6,39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75" w:name="75"/>
                  <w:bookmarkEnd w:id="75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12,58 / 9,08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76" w:name="76"/>
                  <w:bookmarkEnd w:id="76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12,58 / 9,08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77" w:name="77"/>
                  <w:bookmarkEnd w:id="77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78" w:name="78"/>
                  <w:bookmarkEnd w:id="78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водних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об'єктів</w:t>
                  </w:r>
                  <w:proofErr w:type="spellEnd"/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79" w:name="79"/>
                  <w:bookmarkEnd w:id="79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80" w:name="80"/>
                  <w:bookmarkEnd w:id="80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10,03 / 7,24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81" w:name="81"/>
                  <w:bookmarkEnd w:id="81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10,03 / 7,24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82" w:name="82"/>
                  <w:bookmarkEnd w:id="82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10,03 / 7,24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83" w:name="83"/>
                  <w:bookmarkEnd w:id="83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2000" w:type="pct"/>
                  <w:vAlign w:val="bottom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84" w:name="84"/>
                  <w:bookmarkEnd w:id="84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вулиці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площі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крім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вулиць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мікрорайонного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значення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85" w:name="85"/>
                  <w:bookmarkEnd w:id="85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86" w:name="86"/>
                  <w:bookmarkEnd w:id="86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33,01 / 23,82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87" w:name="87"/>
                  <w:bookmarkEnd w:id="87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33,78 / 24,38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88" w:name="88"/>
                  <w:bookmarkEnd w:id="88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32,64 / 23,56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89" w:name="89"/>
                  <w:bookmarkEnd w:id="89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2000" w:type="pct"/>
                  <w:vAlign w:val="bottom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90" w:name="90"/>
                  <w:bookmarkEnd w:id="90"/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Території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ділянки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забудови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іншого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призначення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ділової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виробничої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комунально-складської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курортної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оздоровчої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тощо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91" w:name="91"/>
                  <w:bookmarkEnd w:id="91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92" w:name="92"/>
                  <w:bookmarkEnd w:id="92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18,17 / 13,11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93" w:name="93"/>
                  <w:bookmarkEnd w:id="93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13,80 / 9,96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94" w:name="94"/>
                  <w:bookmarkEnd w:id="94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15,15 / 10,93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95" w:name="95"/>
                  <w:bookmarkEnd w:id="95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1.6.</w:t>
                  </w:r>
                </w:p>
              </w:tc>
              <w:tc>
                <w:tcPr>
                  <w:tcW w:w="200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96" w:name="96"/>
                  <w:bookmarkEnd w:id="96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інші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території</w:t>
                  </w:r>
                  <w:proofErr w:type="spellEnd"/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97" w:name="97"/>
                  <w:bookmarkEnd w:id="97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98" w:name="98"/>
                  <w:bookmarkEnd w:id="98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2,96 / 2,14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99" w:name="99"/>
                  <w:bookmarkEnd w:id="99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00" w:name="100"/>
                  <w:bookmarkEnd w:id="100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01" w:name="101"/>
                  <w:bookmarkEnd w:id="101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02" w:name="102"/>
                  <w:bookmarkEnd w:id="102"/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Населення</w:t>
                  </w:r>
                  <w:proofErr w:type="spellEnd"/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03" w:name="103"/>
                  <w:bookmarkEnd w:id="103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04" w:name="104"/>
                  <w:bookmarkEnd w:id="104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05" w:name="105"/>
                  <w:bookmarkEnd w:id="105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06" w:name="106"/>
                  <w:bookmarkEnd w:id="106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07" w:name="107"/>
                  <w:bookmarkEnd w:id="107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2000" w:type="pct"/>
                  <w:vAlign w:val="bottom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08" w:name="108"/>
                  <w:bookmarkEnd w:id="108"/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Чисельність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населення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всього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, у тому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числі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09" w:name="109"/>
                  <w:bookmarkEnd w:id="109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тис.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осіб</w:t>
                  </w:r>
                  <w:proofErr w:type="spellEnd"/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10" w:name="110"/>
                  <w:bookmarkEnd w:id="110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11" w:name="111"/>
                  <w:bookmarkEnd w:id="111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26,14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12" w:name="112"/>
                  <w:bookmarkEnd w:id="112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26,14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13" w:name="113"/>
                  <w:bookmarkEnd w:id="113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14" w:name="114"/>
                  <w:bookmarkEnd w:id="114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- у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садибній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забудові</w:t>
                  </w:r>
                  <w:proofErr w:type="spellEnd"/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15" w:name="115"/>
                  <w:bookmarkEnd w:id="115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16" w:name="116"/>
                  <w:bookmarkEnd w:id="116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17" w:name="117"/>
                  <w:bookmarkEnd w:id="117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18" w:name="118"/>
                  <w:bookmarkEnd w:id="118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19" w:name="119"/>
                  <w:bookmarkEnd w:id="119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0" w:type="pct"/>
                  <w:vAlign w:val="bottom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20" w:name="120"/>
                  <w:bookmarkEnd w:id="120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- у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багатоквартирній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забудові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(з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урахуванням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гуртожитків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21" w:name="121"/>
                  <w:bookmarkEnd w:id="121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22" w:name="122"/>
                  <w:bookmarkEnd w:id="122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23" w:name="123"/>
                  <w:bookmarkEnd w:id="123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26,14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24" w:name="124"/>
                  <w:bookmarkEnd w:id="124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26,14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25" w:name="125"/>
                  <w:bookmarkEnd w:id="125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26" w:name="126"/>
                  <w:bookmarkEnd w:id="126"/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Щільність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населення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, у тому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числі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27" w:name="127"/>
                  <w:bookmarkEnd w:id="127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люд./га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28" w:name="128"/>
                  <w:bookmarkEnd w:id="128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388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29" w:name="129"/>
                  <w:bookmarkEnd w:id="129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447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30" w:name="130"/>
                  <w:bookmarkEnd w:id="130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449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31" w:name="131"/>
                  <w:bookmarkEnd w:id="131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32" w:name="132"/>
                  <w:bookmarkEnd w:id="132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- у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садибній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забудові</w:t>
                  </w:r>
                  <w:proofErr w:type="spellEnd"/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33" w:name="133"/>
                  <w:bookmarkEnd w:id="133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34" w:name="134"/>
                  <w:bookmarkEnd w:id="134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35" w:name="135"/>
                  <w:bookmarkEnd w:id="135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36" w:name="136"/>
                  <w:bookmarkEnd w:id="136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18E" w:rsidRPr="0053118E" w:rsidTr="0053118E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37" w:name="137"/>
                  <w:bookmarkEnd w:id="137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0" w:type="pct"/>
                  <w:vAlign w:val="bottom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38" w:name="138"/>
                  <w:bookmarkEnd w:id="138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- у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багатоквартирній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забудові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(з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урахуванням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гуртожитків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39" w:name="139"/>
                  <w:bookmarkEnd w:id="139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40" w:name="140"/>
                  <w:bookmarkEnd w:id="140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388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41" w:name="141"/>
                  <w:bookmarkEnd w:id="141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447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42" w:name="142"/>
                  <w:bookmarkEnd w:id="142"/>
                  <w:r w:rsidRPr="0053118E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449</w:t>
                  </w:r>
                </w:p>
              </w:tc>
            </w:tr>
          </w:tbl>
          <w:p w:rsidR="0053118E" w:rsidRPr="0053118E" w:rsidRDefault="0053118E" w:rsidP="0053118E">
            <w:pPr>
              <w:spacing w:after="0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br w:type="textWrapping" w:clear="all"/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43" w:name="143"/>
            <w:bookmarkEnd w:id="143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5445"/>
            </w:tblGrid>
            <w:tr w:rsidR="0053118E" w:rsidRPr="0053118E" w:rsidTr="0053118E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44" w:name="144"/>
                  <w:bookmarkEnd w:id="144"/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b/>
                      <w:bCs/>
                      <w:color w:val="264969"/>
                      <w:sz w:val="24"/>
                      <w:szCs w:val="24"/>
                      <w:lang w:eastAsia="ru-RU"/>
                    </w:rPr>
                    <w:t>Київський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b/>
                      <w:bCs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118E">
                    <w:rPr>
                      <w:rFonts w:ascii="Times New Roman" w:eastAsia="Times New Roman" w:hAnsi="Times New Roman" w:cs="Times New Roman"/>
                      <w:b/>
                      <w:bCs/>
                      <w:color w:val="264969"/>
                      <w:sz w:val="24"/>
                      <w:szCs w:val="24"/>
                      <w:lang w:eastAsia="ru-RU"/>
                    </w:rPr>
                    <w:t>міський</w:t>
                  </w:r>
                  <w:proofErr w:type="spellEnd"/>
                  <w:r w:rsidRPr="0053118E">
                    <w:rPr>
                      <w:rFonts w:ascii="Times New Roman" w:eastAsia="Times New Roman" w:hAnsi="Times New Roman" w:cs="Times New Roman"/>
                      <w:b/>
                      <w:bCs/>
                      <w:color w:val="264969"/>
                      <w:sz w:val="24"/>
                      <w:szCs w:val="24"/>
                      <w:lang w:eastAsia="ru-RU"/>
                    </w:rPr>
                    <w:t xml:space="preserve"> голова</w:t>
                  </w:r>
                </w:p>
              </w:tc>
              <w:tc>
                <w:tcPr>
                  <w:tcW w:w="2500" w:type="pct"/>
                  <w:hideMark/>
                </w:tcPr>
                <w:p w:rsidR="0053118E" w:rsidRPr="0053118E" w:rsidRDefault="0053118E" w:rsidP="005311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45" w:name="145"/>
                  <w:bookmarkEnd w:id="145"/>
                  <w:r w:rsidRPr="0053118E">
                    <w:rPr>
                      <w:rFonts w:ascii="Times New Roman" w:eastAsia="Times New Roman" w:hAnsi="Times New Roman" w:cs="Times New Roman"/>
                      <w:b/>
                      <w:bCs/>
                      <w:color w:val="264969"/>
                      <w:sz w:val="24"/>
                      <w:szCs w:val="24"/>
                      <w:lang w:eastAsia="ru-RU"/>
                    </w:rPr>
                    <w:t>В. Кличко</w:t>
                  </w:r>
                </w:p>
              </w:tc>
            </w:tr>
          </w:tbl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br w:type="textWrapping" w:clear="all"/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46" w:name="146"/>
            <w:bookmarkEnd w:id="146"/>
            <w:r w:rsidRPr="0053118E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</w:tr>
      <w:tr w:rsidR="0053118E" w:rsidRPr="0053118E" w:rsidTr="0053118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FEFFF"/>
            </w:tcBorders>
            <w:shd w:val="clear" w:color="auto" w:fill="EDF7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53118E" w:rsidRPr="0053118E" w:rsidRDefault="00A5005C" w:rsidP="0053118E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</w:pPr>
            <w:hyperlink r:id="rId7" w:tgtFrame="_blank" w:history="1">
              <w:proofErr w:type="spellStart"/>
              <w:r w:rsidR="0053118E" w:rsidRPr="0053118E">
                <w:rPr>
                  <w:rFonts w:ascii="Tahoma" w:eastAsia="Times New Roman" w:hAnsi="Tahoma" w:cs="Tahoma"/>
                  <w:color w:val="0000FF"/>
                  <w:sz w:val="15"/>
                  <w:szCs w:val="15"/>
                  <w:u w:val="single"/>
                  <w:lang w:eastAsia="ru-RU"/>
                </w:rPr>
                <w:t>bigmir</w:t>
              </w:r>
              <w:proofErr w:type="spellEnd"/>
              <w:r w:rsidR="0053118E" w:rsidRPr="0053118E">
                <w:rPr>
                  <w:rFonts w:ascii="Tahoma" w:eastAsia="Times New Roman" w:hAnsi="Tahoma" w:cs="Tahoma"/>
                  <w:color w:val="FF0000"/>
                  <w:sz w:val="15"/>
                  <w:szCs w:val="15"/>
                  <w:u w:val="single"/>
                  <w:lang w:eastAsia="ru-RU"/>
                </w:rPr>
                <w:t>)</w:t>
              </w:r>
              <w:proofErr w:type="spellStart"/>
              <w:r w:rsidR="0053118E" w:rsidRPr="0053118E">
                <w:rPr>
                  <w:rFonts w:ascii="Tahoma" w:eastAsia="Times New Roman" w:hAnsi="Tahoma" w:cs="Tahoma"/>
                  <w:color w:val="0000FF"/>
                  <w:sz w:val="15"/>
                  <w:szCs w:val="15"/>
                  <w:u w:val="single"/>
                  <w:lang w:eastAsia="ru-RU"/>
                </w:rPr>
                <w:t>net</w:t>
              </w:r>
              <w:proofErr w:type="spellEnd"/>
            </w:hyperlink>
          </w:p>
          <w:p w:rsidR="0053118E" w:rsidRPr="0053118E" w:rsidRDefault="0053118E" w:rsidP="0053118E">
            <w:pPr>
              <w:spacing w:after="0" w:line="240" w:lineRule="auto"/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</w:pPr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©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Секретаріат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Київської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міської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Ради, 1970-2018.</w:t>
            </w:r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br/>
              <w:t xml:space="preserve">©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Інформаційно-аналітичний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центр "ЛІГА", 1991-2018. </w:t>
            </w:r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br/>
              <w:t>© ТОВ "ЛІГА ЗАКОН", 2007-2018.</w:t>
            </w:r>
          </w:p>
          <w:p w:rsidR="0053118E" w:rsidRPr="0053118E" w:rsidRDefault="0053118E" w:rsidP="005311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</w:pP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Електронні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тексти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документів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підготовлено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Всеукраїнською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мережею </w:t>
            </w:r>
            <w:hyperlink r:id="rId8" w:history="1">
              <w:r w:rsidRPr="0053118E">
                <w:rPr>
                  <w:rFonts w:ascii="Arial" w:eastAsia="Times New Roman" w:hAnsi="Arial" w:cs="Arial"/>
                  <w:color w:val="4374A2"/>
                  <w:sz w:val="15"/>
                  <w:szCs w:val="15"/>
                  <w:u w:val="single"/>
                  <w:lang w:eastAsia="ru-RU"/>
                </w:rPr>
                <w:t>ЛІГА:ЗАКОН</w:t>
              </w:r>
            </w:hyperlink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 у рамках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Програми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інформаційного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співробітництва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з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Київською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міською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радою.</w:t>
            </w:r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br/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Всі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права на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матеріали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розташовані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на </w:t>
            </w:r>
            <w:hyperlink r:id="rId9" w:history="1">
              <w:r w:rsidRPr="0053118E">
                <w:rPr>
                  <w:rFonts w:ascii="Arial" w:eastAsia="Times New Roman" w:hAnsi="Arial" w:cs="Arial"/>
                  <w:color w:val="4374A2"/>
                  <w:sz w:val="15"/>
                  <w:szCs w:val="15"/>
                  <w:u w:val="single"/>
                  <w:lang w:eastAsia="ru-RU"/>
                </w:rPr>
                <w:t>www.ligazakon.ua</w:t>
              </w:r>
            </w:hyperlink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охороняються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у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відповідності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з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законодавством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України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. При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використанні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або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цитуванні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будь-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яких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матеріалів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посилання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на </w:t>
            </w:r>
            <w:hyperlink r:id="rId10" w:history="1">
              <w:r w:rsidRPr="0053118E">
                <w:rPr>
                  <w:rFonts w:ascii="Arial" w:eastAsia="Times New Roman" w:hAnsi="Arial" w:cs="Arial"/>
                  <w:color w:val="4374A2"/>
                  <w:sz w:val="15"/>
                  <w:szCs w:val="15"/>
                  <w:u w:val="single"/>
                  <w:lang w:eastAsia="ru-RU"/>
                </w:rPr>
                <w:t>www.ligazakon.ua</w:t>
              </w:r>
            </w:hyperlink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 є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обов’язковим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. При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використанні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або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цитуванні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інтернеті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гіперпосилання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hyperlink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) на </w:t>
            </w:r>
            <w:hyperlink r:id="rId11" w:history="1">
              <w:r w:rsidRPr="0053118E">
                <w:rPr>
                  <w:rFonts w:ascii="Arial" w:eastAsia="Times New Roman" w:hAnsi="Arial" w:cs="Arial"/>
                  <w:color w:val="4374A2"/>
                  <w:sz w:val="15"/>
                  <w:szCs w:val="15"/>
                  <w:u w:val="single"/>
                  <w:lang w:eastAsia="ru-RU"/>
                </w:rPr>
                <w:t>www.ligazakon.ua</w:t>
              </w:r>
            </w:hyperlink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є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обов’язковим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Републікація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будь-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яких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матеріалів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можлива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тільки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за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письмовою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>згодою</w:t>
            </w:r>
            <w:proofErr w:type="spellEnd"/>
            <w:r w:rsidRPr="0053118E">
              <w:rPr>
                <w:rFonts w:ascii="Arial" w:eastAsia="Times New Roman" w:hAnsi="Arial" w:cs="Arial"/>
                <w:color w:val="528DB8"/>
                <w:sz w:val="15"/>
                <w:szCs w:val="15"/>
                <w:lang w:eastAsia="ru-RU"/>
              </w:rPr>
              <w:t xml:space="preserve"> ТОВ «ЛІГА:ЗАКОН».</w:t>
            </w:r>
          </w:p>
        </w:tc>
      </w:tr>
    </w:tbl>
    <w:p w:rsidR="00245AE7" w:rsidRDefault="00A5005C"/>
    <w:sectPr w:rsidR="0024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8E"/>
    <w:rsid w:val="0053118E"/>
    <w:rsid w:val="005E2A23"/>
    <w:rsid w:val="00A5005C"/>
    <w:rsid w:val="00A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1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1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1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1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1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1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588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zakon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gmir.ne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ligazakon.u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gazako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zako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Grigoriev</dc:creator>
  <cp:lastModifiedBy>Пользователь Windows</cp:lastModifiedBy>
  <cp:revision>2</cp:revision>
  <dcterms:created xsi:type="dcterms:W3CDTF">2018-03-20T16:41:00Z</dcterms:created>
  <dcterms:modified xsi:type="dcterms:W3CDTF">2018-03-20T16:41:00Z</dcterms:modified>
</cp:coreProperties>
</file>