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ПЕРЕДВИБОРЧА ПРОГРАМА</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політичної партії Громадянський Рух Хвиля</w:t>
        <w:br w:type="textWrapping"/>
        <w:br w:type="textWrapping"/>
      </w:r>
      <w:r w:rsidDel="00000000" w:rsidR="00000000" w:rsidRPr="00000000">
        <w:rPr>
          <w:rFonts w:ascii="Times New Roman" w:cs="Times New Roman" w:eastAsia="Times New Roman" w:hAnsi="Times New Roman"/>
          <w:b w:val="1"/>
          <w:i w:val="0"/>
          <w:smallCaps w:val="1"/>
          <w:strike w:val="0"/>
          <w:color w:val="000000"/>
          <w:sz w:val="20"/>
          <w:szCs w:val="20"/>
          <w:highlight w:val="white"/>
          <w:u w:val="none"/>
          <w:vertAlign w:val="baseline"/>
          <w:rtl w:val="0"/>
        </w:rPr>
        <w:t xml:space="preserve">КОМФОРТНЕ ЖИТТЯ ДЛЯ ВСІЄЇ ГРОМАДИ</w:t>
      </w:r>
      <w:r w:rsidDel="00000000" w:rsidR="00000000" w:rsidRPr="00000000">
        <w:rPr>
          <w:rFonts w:ascii="Times New Roman" w:cs="Times New Roman" w:eastAsia="Times New Roman" w:hAnsi="Times New Roman"/>
          <w:b w:val="0"/>
          <w:i w:val="0"/>
          <w:smallCaps w:val="1"/>
          <w:strike w:val="0"/>
          <w:color w:val="000000"/>
          <w:sz w:val="20"/>
          <w:szCs w:val="20"/>
          <w:highlight w:val="white"/>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br w:type="textWrapping"/>
        <w:t xml:space="preserve">Діяльність партії буде спрямована на  </w:t>
        <w:br w:type="textWrapping"/>
        <w:t xml:space="preserve">задоволення основних потреб мешканців Немішаєвської ОТГ та сприятливі умови життя.</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Відкриємо доступ до контролю та управління ОТГ: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 сприяння виникненню у громади правильних уявлень про структуру та роботу механізму місцевого самоврядування;</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реальна участь громадськості в обговоренні програм місцевого розвитку, проектів місцевих бюджетів тощо, у т. ч. через системи прямої електронної демократії (онлайн);</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вичерпне інформування про стан життя мешканців ОТГ;</w:t>
        <w:br w:type="textWrapping"/>
        <w:t xml:space="preserve">- аудит активів громади: фінансів, земельних ресурсів, майна;</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повний і безперешкодний онлайн-доступ до всієї інформації про діяльність, зобов'язання і фінанси всіх органів місцевого самоврядування, їх виконавчих органів, комунальних підприємств, установ і організацій та всіх підприємств, установ і організацій, в яких ОТГ володіє часткою понад 25 %;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інвентаризація та створення реєстру комунального майна, повний і безперешкодний онлайн-доступ до всіх реєстрів комунальної власності і земельного кадастру ОТГ;</w:t>
        <w:br w:type="textWrapping"/>
        <w:t xml:space="preserve">- прозорість тарифів;</w:t>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Екологія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 забезпечимо екологічно чисте середовище;</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-недопущення хаотичної  вирубки лісів громади та забруднення водоймищ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забезпеченість якісною питною водою та реконструкція очисних споруд;</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ефективну систему збору, вивезення та переробки сміття з вулиць, прибудинкових територій та під'їздів багатоквартирних будинків у населених пунктах громади;</w:t>
        <w:br w:type="textWrapping"/>
        <w:t xml:space="preserve">- забезпеченість місцями для відпочинку і дозвілля;</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-розробка програми по стерелізації та чипуванню безпритульних тварин та виділення з бюджету коштів на реалізацію цієї програми щорічно.</w:t>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Інфраструктура та якість адміністративних послуг</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якісне електропостачання; освітленість вулиць і під'їздів будинків у темну пору доби;</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забезпеченість належним транспортним сполученням - як внутрішнім, так і зовнішнім;</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розгалудженість і якість доріг;</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ефективну систему безпеки громадян та захисту їхнього майна (боротьба зі злочинністю; охорона громадського порядку, попередження та ліквідація наслідків стихійного лиха, розгалуджена система відеоспостереження і відеомоніторингу);</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-покращення та розвиток матеріальнотехнічної частини  бази пожежної частини;</w:t>
        <w:br w:type="textWrapping"/>
        <w:t xml:space="preserve">- наявність сприятливих умов для ведення бізнесу та інвестування, створення рабочих місць та самозайнятості;</w:t>
        <w:br w:type="textWrapping"/>
        <w:br w:type="textWrapping"/>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Медицина</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доступність та якість медичних послуг відповідно до державних та міжнародних стандартів, доступність та якість заходів для зміцнення здоров'я населення, попередження захворювань, продовження активного та працездатного віку, заохочення до здорового способу життя та занять спортом; розробка і ведення пілотних проектів по страховій медицині, рішення проблем людей з особливим потребами (інваліди, діти інваліди, тяжкохворі);</w:t>
        <w:br w:type="textWrapping"/>
        <w:t xml:space="preserve">-капітальна реконструкція медичних закладів громади.</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Овіта</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доступність та якість освітніх послуг відповідно до державних та міжнародних стандартів;</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створення умов для життя дітей, включаючи безпеку, розваги, освіту;</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забезпеченість закладами культури (бібліотеки, будинки культури тощо);</w:t>
        <w:br w:type="textWrapping"/>
        <w:t xml:space="preserve">-добудова та реконструкція  всіх дошкільних та шкільних закладів з ціллю збільшення навчальних місць та розширення технічної бази закладів освіти.</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Дозвілля</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вільний доступ до усіх природних об'єктів та угідь в межах громади - лісів, берегів рік та озер;</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Культурна спадщина</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впровадження дієвих механізмів збереження та охорони культурної спадщини, традиційного характеру середовища;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Містобудівна політика</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забезпечення сталого і прогнозованого розвитку територій ОТГ;</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недопущення</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будівництва багатоповерхівок поряд з приватним сектором;</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-утеплення державних закладів та часткова участь в утепленні багатоповерхівок.</w:t>
        <w:br w:type="textWrapping"/>
        <w:br w:type="textWrapping"/>
        <w:br w:type="textWrapping"/>
      </w: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