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ind w:left="382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Голові Постійної комісії Київської міської ради з питань містобудування, архітектури та землекористування</w:t>
      </w:r>
    </w:p>
    <w:p w:rsidR="00000000" w:rsidDel="00000000" w:rsidP="00000000" w:rsidRDefault="00000000" w:rsidRPr="00000000" w14:paraId="0000000C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Михайлу ТЕРЕНТЬЄВУ</w:t>
      </w:r>
    </w:p>
    <w:p w:rsidR="00000000" w:rsidDel="00000000" w:rsidP="00000000" w:rsidRDefault="00000000" w:rsidRPr="00000000" w14:paraId="0000000D">
      <w:pPr>
        <w:ind w:left="382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Міністру культури та інформаційної політики України  </w:t>
      </w:r>
    </w:p>
    <w:p w:rsidR="00000000" w:rsidDel="00000000" w:rsidP="00000000" w:rsidRDefault="00000000" w:rsidRPr="00000000" w14:paraId="0000000F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Олександру ТКАЧЕНКУ</w:t>
      </w:r>
    </w:p>
    <w:p w:rsidR="00000000" w:rsidDel="00000000" w:rsidP="00000000" w:rsidRDefault="00000000" w:rsidRPr="00000000" w14:paraId="00000010">
      <w:pPr>
        <w:ind w:left="382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Департаменту охорони культурної спадщини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2">
      <w:pPr>
        <w:ind w:left="3828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Олександру НИКОРЯКУ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82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 Департаменту міського благоустрою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5">
      <w:pPr>
        <w:ind w:left="3828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Тимуру ТКАЧЕНКО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828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828"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Директору Департаменту містобудування та архітектури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18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Олександру СВИСТУНОВУ</w:t>
      </w:r>
    </w:p>
    <w:p w:rsidR="00000000" w:rsidDel="00000000" w:rsidP="00000000" w:rsidRDefault="00000000" w:rsidRPr="00000000" w14:paraId="00000019">
      <w:pPr>
        <w:ind w:left="3828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Голові Державної інспекції архітектури та містобудування України  </w:t>
      </w:r>
    </w:p>
    <w:p w:rsidR="00000000" w:rsidDel="00000000" w:rsidP="00000000" w:rsidRDefault="00000000" w:rsidRPr="00000000" w14:paraId="0000001B">
      <w:pPr>
        <w:ind w:left="3828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Семену КРИВОНОСУ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820"/>
        </w:tabs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820"/>
        </w:tabs>
        <w:rPr>
          <w:b w:val="1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53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 і 13 Закону України «Про статус депутатів місцевих рад», Регламенту Київської міської ради, затвердженого рішенням Київської міської ради від 07.07.2016 №579/579 (зі змінами) звертаюсь з наступним.</w:t>
      </w:r>
    </w:p>
    <w:p w:rsidR="00000000" w:rsidDel="00000000" w:rsidP="00000000" w:rsidRDefault="00000000" w:rsidRPr="00000000" w14:paraId="00000022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Мене, як депутата Київської міської ради IX скликання, непокоїть ситуація, що виникла навколо об’єкта культурної спадщини - особняка Баккалинського, розташованого за адресою: вул. Іллєнка, 30 у Шевченківському районі м. Києва. </w:t>
      </w:r>
    </w:p>
    <w:p w:rsidR="00000000" w:rsidDel="00000000" w:rsidP="00000000" w:rsidRDefault="00000000" w:rsidRPr="00000000" w14:paraId="00000023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22.04.2021 Київською міською радою прийнято рішення «Про передачу Товариству з обмеженою відповідальністю «АМЕЛІН-30» земельної ділянки </w:t>
        <w:br w:type="textWrapping"/>
        <w:t xml:space="preserve">для будівництва, експлуатації та обслуговування багатофункціональної адміністративної будівлі, благоустрою території та паркінгу на вул. Іллєнка, 30 у Шевченківському районі міста Києва».</w:t>
      </w:r>
    </w:p>
    <w:p w:rsidR="00000000" w:rsidDel="00000000" w:rsidP="00000000" w:rsidRDefault="00000000" w:rsidRPr="00000000" w14:paraId="00000024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А 27 квітня 2021 року, особняк Баккалинського отримав статус щойно виявленого об'єкта культурної спадщини і з цього часу підлягає захисту згідно зі статтею 37 </w:t>
      </w:r>
      <w:hyperlink r:id="rId8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Закону України «Про охорону культурної спадщини»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Інформація з книги «Особняки Києва»: «…по лінії забудови кварталу особняк Баккалинського сприймається як одна з найцікавіших споруд, характерних для Лук'янівки. Праворуч - двоповерхова кам'яниця, що належала провізорові Вікентію Владиславовичу-Едуардовичу Керекешу. Сусідою з тилу був теж підполковник Казимір Костянтинович Окольський. За дві садиби ліворуч була ділянка, надана 1899 р. під забудову чиновнику І. І. Щітківському, який 1918 р. наймав там помешкання в тодішнього домовласника М. Огонь-Догановського».</w:t>
      </w:r>
    </w:p>
    <w:p w:rsidR="00000000" w:rsidDel="00000000" w:rsidP="00000000" w:rsidRDefault="00000000" w:rsidRPr="00000000" w14:paraId="00000026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Таким чином, особняк Баккалинського, станом на сьогодні, перебуває під загрозою знищення. </w:t>
      </w:r>
    </w:p>
    <w:p w:rsidR="00000000" w:rsidDel="00000000" w:rsidP="00000000" w:rsidRDefault="00000000" w:rsidRPr="00000000" w14:paraId="00000027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Особняк стоїть на </w:t>
      </w:r>
      <w:hyperlink r:id="rId9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червоній лінії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 забудови вулиці, вирішений у стилі </w:t>
      </w:r>
      <w:hyperlink r:id="rId10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історизму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з рисами </w:t>
      </w:r>
      <w:hyperlink r:id="rId11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неокласицизму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, одноповерховий, з дерев'яним </w:t>
      </w:r>
      <w:hyperlink r:id="rId12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мезоніном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 з боку подвір'я, цегляний, у плані Т-подібний. Весь пишний декор виконано в цеглі. Від прохідної частини вулиці відокремлений вузьким </w:t>
      </w:r>
      <w:hyperlink r:id="rId13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газоном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, обмеженим невисокою підпірною стіною, в якій влаштовано сходи до парадного входу.</w:t>
      </w:r>
    </w:p>
    <w:p w:rsidR="00000000" w:rsidDel="00000000" w:rsidP="00000000" w:rsidRDefault="00000000" w:rsidRPr="00000000" w14:paraId="00000028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Як киянин, я вболіваю за кожну історичну будівлю міста, як депутат Київської міської ради IX скликання, я не можу залишитись осторонь. Забудова історичного центру за рахунок об’єктів культурної спадщини є неприпустимою.</w:t>
      </w:r>
    </w:p>
    <w:p w:rsidR="00000000" w:rsidDel="00000000" w:rsidP="00000000" w:rsidRDefault="00000000" w:rsidRPr="00000000" w14:paraId="00000029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підставі викладеного, з метою захисту інтересів територіальної громади м. Києва, керуючись ст.ст. 2, 10, п. 1, 3 ч. 2 ст. 11 Закону України «Про статус депутатів місцевих рад», –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2C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18"/>
        </w:tabs>
        <w:spacing w:before="120" w:lineRule="auto"/>
        <w:ind w:firstLine="85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Постійної комісії Київської міської ради з питань містобудування, архітектури та землекористування: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розглянути питання щодо внесення змін до рішення «Про передачу Товариству з обмеженою відповідальністю «АМЕЛІН-30» земельної ділянки для будівництва, експлуатації та обслуговування багатофункціональної адміністративної будівлі, благоустрою території та паркінгу на вул. Іллєнка, 30 у Шевченківському районі міста Києва», з метою приведення його у відповідність до вимог пам’яткоохоронного законодавства. 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before="120" w:lineRule="auto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Міністерство культури та інформаційної політики України: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щодо погодження Міністерством будь-яких робіт за адресою: вул. Іллєнка, 30 у Шевченківському районі м. Києва та надання відповідних дозволів. 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before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Департамент охорони культурної спадщини виконавчого органу Київської міської ради (Київської міської державної адміністрації):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щодо розгляду питання вищезазначених містобудівних перетворень на Консультативній раді з питань охорони культурної спадщини Департаменту, чи погоджувалась із Департаментом науково-проєктна/проєктна документація на реставрацію/будівництво, тощо за адресою: вул. Іллєнка, 30 у Шевченківському районі м. Києва.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line="276" w:lineRule="auto"/>
        <w:jc w:val="both"/>
        <w:rPr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51"/>
        </w:tabs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ab/>
        <w:t xml:space="preserve">Департамент містобудування та архітектури виконавчого органу Київської міської ради (Київської міської державної адміністрації):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щодо наявності містобудівних умов та обмежень на об’єкт будівництва по вул. Іллєнка, 30 у Шевченківському районі </w:t>
        <w:br w:type="textWrapping"/>
        <w:t xml:space="preserve">м. Києва;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 разі підготовки містобудівних умов та обмежень на об’єкт будівництва по вул. Іллєнка, 30 у Шевченківському районі м. Києва, врахувати пам’яткоохоронний статус зазначеної будівлі 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Департамент міського благоустрою виконавчого органу Київської міської ради (Київської міської державної адміністрації):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провести перевірку на дотримання вимог чинного законодавства у сфері міського благоустрою за адресою: вулиця Іллєнка, 30 та, у разі необхідності, провести відповідні заходи впливу.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Державну інспекцію архітектури та містобудування України: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надати інформацію щодо наявності погодженої в установленому порядку дозвільної документації на будівництво за адресою: вул. Іллєнка, 30 у Шевченківському районі м. Києва та чи відповідає зазначена документація вимогам пам’яткоохоронного законодавства.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а у разі неможливості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на електронну адресу </w:t>
      </w:r>
      <w:hyperlink r:id="rId14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адресу: 04210, м. Київ, вул. Оболонська Набережна, 19, корпус 5.</w:t>
      </w:r>
    </w:p>
    <w:p w:rsidR="00000000" w:rsidDel="00000000" w:rsidP="00000000" w:rsidRDefault="00000000" w:rsidRPr="00000000" w14:paraId="0000003F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851"/>
        </w:tabs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6521"/>
        </w:tabs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  <w:tab/>
        <w:t xml:space="preserve">Владислав ТРУБІЦИН</w:t>
      </w:r>
    </w:p>
    <w:p w:rsidR="00000000" w:rsidDel="00000000" w:rsidP="00000000" w:rsidRDefault="00000000" w:rsidRPr="00000000" w14:paraId="00000043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851" w:top="56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uk.wikipedia.org/wiki/%D0%9D%D0%B5%D0%BE%D0%BA%D0%BB%D0%B0%D1%81%D0%B8%D1%86%D0%B8%D0%B7%D0%BC" TargetMode="External"/><Relationship Id="rId10" Type="http://schemas.openxmlformats.org/officeDocument/2006/relationships/hyperlink" Target="https://uk.wikipedia.org/wiki/%D0%86%D1%81%D1%82%D0%BE%D1%80%D0%B8%D0%B7%D0%BC" TargetMode="External"/><Relationship Id="rId13" Type="http://schemas.openxmlformats.org/officeDocument/2006/relationships/hyperlink" Target="https://uk.wikipedia.org/wiki/%D0%93%D0%B0%D0%B7%D0%BE%D0%BD" TargetMode="External"/><Relationship Id="rId12" Type="http://schemas.openxmlformats.org/officeDocument/2006/relationships/hyperlink" Target="https://uk.wikipedia.org/wiki/%D0%9C%D0%B5%D0%B7%D0%BE%D0%BD%D1%96%D0%B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k.wikipedia.org/wiki/%D0%A7%D0%B5%D1%80%D0%B2%D0%BE%D0%BD%D0%B0_%D0%BB%D1%96%D0%BD%D1%96%D1%8F" TargetMode="External"/><Relationship Id="rId15" Type="http://schemas.openxmlformats.org/officeDocument/2006/relationships/header" Target="header1.xml"/><Relationship Id="rId14" Type="http://schemas.openxmlformats.org/officeDocument/2006/relationships/hyperlink" Target="mailto:gromadskapt@gmail.com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2.png"/><Relationship Id="rId18" Type="http://schemas.openxmlformats.org/officeDocument/2006/relationships/footer" Target="footer3.xml"/><Relationship Id="rId7" Type="http://schemas.openxmlformats.org/officeDocument/2006/relationships/image" Target="media/image1.png"/><Relationship Id="rId8" Type="http://schemas.openxmlformats.org/officeDocument/2006/relationships/hyperlink" Target="https://uk.wikipedia.org/wiki/%D0%97%D0%B0%D0%BA%D0%BE%D0%BD_%D0%A3%D0%BA%D1%80%D0%B0%D1%97%D0%BD%D0%B8_%C2%AB%D0%9F%D1%80%D0%BE_%D0%BE%D1%85%D0%BE%D1%80%D0%BE%D0%BD%D1%83_%D0%BA%D1%83%D0%BB%D1%8C%D1%82%D1%83%D1%80%D0%BD%D0%BE%D1%97_%D1%81%D0%BF%D0%B0%D0%B4%D1%89%D0%B8%D0%BD%D0%B8%C2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