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69"/>
      </w:tblGrid>
      <w:tr w:rsidR="00E06A1E" w:rsidRPr="003850E7" w:rsidTr="00577065">
        <w:tc>
          <w:tcPr>
            <w:tcW w:w="4672" w:type="dxa"/>
          </w:tcPr>
          <w:p w:rsidR="00577065" w:rsidRPr="003850E7" w:rsidRDefault="00577065" w:rsidP="00577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577065" w:rsidRPr="003850E7" w:rsidRDefault="00F04F2D" w:rsidP="00577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E7">
              <w:rPr>
                <w:rFonts w:ascii="Times New Roman" w:hAnsi="Times New Roman" w:cs="Times New Roman"/>
                <w:b/>
                <w:sz w:val="28"/>
                <w:szCs w:val="28"/>
              </w:rPr>
              <w:t>Міністерство юстиції України</w:t>
            </w:r>
          </w:p>
          <w:p w:rsidR="00F04F2D" w:rsidRPr="003850E7" w:rsidRDefault="00F04F2D" w:rsidP="00577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F2D" w:rsidRPr="003850E7" w:rsidTr="00577065">
        <w:tc>
          <w:tcPr>
            <w:tcW w:w="4672" w:type="dxa"/>
          </w:tcPr>
          <w:p w:rsidR="00F04F2D" w:rsidRPr="003850E7" w:rsidRDefault="00F04F2D" w:rsidP="00577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F04F2D" w:rsidRPr="003850E7" w:rsidRDefault="00F04F2D" w:rsidP="00577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E7">
              <w:rPr>
                <w:rFonts w:ascii="Times New Roman" w:hAnsi="Times New Roman" w:cs="Times New Roman"/>
                <w:b/>
                <w:sz w:val="28"/>
                <w:szCs w:val="28"/>
              </w:rPr>
              <w:t>Київська обласна прокуратура</w:t>
            </w:r>
          </w:p>
          <w:p w:rsidR="00F04F2D" w:rsidRPr="003850E7" w:rsidRDefault="00F04F2D" w:rsidP="00577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F2D" w:rsidRPr="003850E7" w:rsidTr="00577065">
        <w:tc>
          <w:tcPr>
            <w:tcW w:w="4672" w:type="dxa"/>
          </w:tcPr>
          <w:p w:rsidR="00F04F2D" w:rsidRPr="003850E7" w:rsidRDefault="00F04F2D" w:rsidP="00577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F04F2D" w:rsidRPr="003850E7" w:rsidRDefault="00F04F2D" w:rsidP="00577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E7">
              <w:rPr>
                <w:rFonts w:ascii="Times New Roman" w:hAnsi="Times New Roman" w:cs="Times New Roman"/>
                <w:b/>
                <w:sz w:val="28"/>
                <w:szCs w:val="28"/>
              </w:rPr>
              <w:t>Головне управління Національної поліції в Київській області</w:t>
            </w:r>
          </w:p>
        </w:tc>
      </w:tr>
    </w:tbl>
    <w:p w:rsidR="00AF4D1F" w:rsidRPr="003850E7" w:rsidRDefault="00AF4D1F" w:rsidP="005770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7065" w:rsidRPr="003850E7" w:rsidRDefault="00577065" w:rsidP="005770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7065" w:rsidRPr="003850E7" w:rsidRDefault="00577065" w:rsidP="005770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7065" w:rsidRPr="003850E7" w:rsidRDefault="00577065" w:rsidP="005770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0E7">
        <w:rPr>
          <w:rFonts w:ascii="Times New Roman" w:hAnsi="Times New Roman" w:cs="Times New Roman"/>
          <w:b/>
          <w:bCs/>
          <w:sz w:val="28"/>
          <w:szCs w:val="28"/>
        </w:rPr>
        <w:t>Звернення</w:t>
      </w:r>
    </w:p>
    <w:p w:rsidR="00577065" w:rsidRPr="003850E7" w:rsidRDefault="00577065" w:rsidP="005770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0E7">
        <w:rPr>
          <w:rFonts w:ascii="Times New Roman" w:hAnsi="Times New Roman" w:cs="Times New Roman"/>
          <w:b/>
          <w:bCs/>
          <w:sz w:val="28"/>
          <w:szCs w:val="28"/>
        </w:rPr>
        <w:t xml:space="preserve">депутатів Київської обласної ради VIІI скликання </w:t>
      </w:r>
    </w:p>
    <w:p w:rsidR="00577065" w:rsidRPr="003850E7" w:rsidRDefault="00577065" w:rsidP="00577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E7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F04F2D" w:rsidRPr="003850E7">
        <w:rPr>
          <w:rFonts w:ascii="Times New Roman" w:hAnsi="Times New Roman" w:cs="Times New Roman"/>
          <w:b/>
          <w:bCs/>
          <w:sz w:val="28"/>
          <w:szCs w:val="28"/>
        </w:rPr>
        <w:t>Міністерства юстиції України та правоохоронних органів щодо недопущення рейдерського захоплення об’єктів комунальної власності Бородянської селищної територіальної громади</w:t>
      </w:r>
    </w:p>
    <w:p w:rsidR="00577065" w:rsidRPr="003850E7" w:rsidRDefault="00577065" w:rsidP="005770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0A1" w:rsidRPr="003850E7" w:rsidRDefault="00EA58D9" w:rsidP="00EA5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Депутати Київської обласної ради стурбовані ситуацією щодо можливого захоплення об’єктів комунальної власності Бородянської селищної територіальної громади</w:t>
      </w:r>
      <w:r w:rsidR="00ED20A1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58D9" w:rsidRPr="003850E7" w:rsidRDefault="00ED20A1" w:rsidP="00EA5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 інформації</w:t>
      </w:r>
      <w:r w:rsidR="00724C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наданої Бородянською селищною радою, у</w:t>
      </w:r>
      <w:r w:rsidR="00F04F2D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комунальній власності Бородянської селищної </w:t>
      </w:r>
      <w:r w:rsidR="00EA58D9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територіальної громади в особі Бородянської селищної </w:t>
      </w:r>
      <w:r w:rsidR="00F04F2D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ради Бучанського району Київської області перебуває об’єкт нерухомого майна – громадський будинок</w:t>
      </w:r>
      <w:r w:rsidR="00EA58D9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знаходиться за адресою: Київська область, Бучанський район, с. Нове Залісся, </w:t>
      </w:r>
      <w:r w:rsidR="0072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EA58D9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вул. Кримська, 2 (далі – Адмінбудівля).</w:t>
      </w:r>
    </w:p>
    <w:p w:rsidR="00EA58D9" w:rsidRPr="003850E7" w:rsidRDefault="00EA58D9" w:rsidP="00EA5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Адмінбудівля була побудована </w:t>
      </w:r>
      <w:r w:rsidR="00F04F2D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бул</w:t>
      </w: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04F2D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побудован</w:t>
      </w: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04F2D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с. Нове Залісся після аварії на ЧАЕС разом з</w:t>
      </w:r>
      <w:r w:rsidR="00724CB5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F04F2D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школою, садочком, амбулаторією для суспільних потреб переселенців. </w:t>
      </w:r>
    </w:p>
    <w:p w:rsidR="00F04F2D" w:rsidRPr="003850E7" w:rsidRDefault="00EA58D9" w:rsidP="00EA5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04F2D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даний </w:t>
      </w:r>
      <w:r w:rsidR="0072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 </w:t>
      </w: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Адмінбудівлі </w:t>
      </w:r>
      <w:r w:rsidR="00F04F2D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надають послуги представники Новозаліського старостинського округу, Укрпошти, Укртелекому, бібліотеки, водоканалу, також ведуться ремонтні роботи у приміщеннях</w:t>
      </w:r>
      <w:r w:rsidR="00724C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04F2D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призначених для проживання 26 сімей ВПО з деокупованих територій.</w:t>
      </w:r>
    </w:p>
    <w:p w:rsidR="00F04F2D" w:rsidRPr="003850E7" w:rsidRDefault="00EA58D9" w:rsidP="00EA5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Проте </w:t>
      </w:r>
      <w:r w:rsidR="00F04F2D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</w:t>
      </w: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F04F2D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Міністерства юстиції України від 15.05.2023 №1842/5 було скасовано рішення від 18.11.2021 № 61686119, прийняте державним реєстратором Бучанської міської ради Лозінським А.Ю., щодо набуття права власності Бородянською селищною радою на зазначену вище Адмінбудівлю.</w:t>
      </w:r>
    </w:p>
    <w:p w:rsidR="00ED20A1" w:rsidRPr="003850E7" w:rsidRDefault="00F04F2D" w:rsidP="00ED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Скасування відбулось за скаргою </w:t>
      </w:r>
      <w:r w:rsidR="00ED20A1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Товариства з обмеженою відповідальністю «АГРОКОНТРАСТ»</w:t>
      </w:r>
      <w:r w:rsidR="00D363E7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(код ЄДРПОУ 03753740)</w:t>
      </w:r>
      <w:r w:rsidR="00ED20A1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(далі - </w:t>
      </w: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ТОВ «АГРОКОНТРАСТ»</w:t>
      </w:r>
      <w:r w:rsidR="00ED20A1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02.02.2022 до Центральної Колегії Міністерства юстиції України з розгляду скарг на рішення, дії або бездіяльність державного реєстратора, суб’єктів державної реєстрації, територіальних органів Міністерства юстиції (далі – Колегія).</w:t>
      </w:r>
    </w:p>
    <w:p w:rsidR="00ED20A1" w:rsidRPr="003850E7" w:rsidRDefault="00ED20A1" w:rsidP="00ED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 зв’язку з</w:t>
      </w:r>
      <w:r w:rsidR="00724CB5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скасуванням реєстрації права власності, Бородянська селищна рада не має можливості укласти договір щодо постачання електроенергії, що призводить до зупинки ремонтних робіт, а також паралізує роботу старостинського округу, в якому на даний час проживає 2263 жителі.</w:t>
      </w:r>
    </w:p>
    <w:p w:rsidR="00F04F2D" w:rsidRPr="003850E7" w:rsidRDefault="00724CB5" w:rsidP="00F04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інформацією </w:t>
      </w:r>
      <w:r w:rsidR="00ED20A1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Бородянськ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ої</w:t>
      </w:r>
      <w:r w:rsidR="00ED20A1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селищн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ої</w:t>
      </w:r>
      <w:r w:rsidR="00ED20A1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D20A1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04F2D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ТОВ «АГРОКОНТРАСТ» жодних правових підстав на Адмінбудівлю не мав та не має, адже будівля не підлягала розпаюванню, так як, мала суспільне значення для жителів громади та знаходиться на балансі та в комунальній власності Бородянської селищної ради.</w:t>
      </w:r>
    </w:p>
    <w:p w:rsidR="00F04F2D" w:rsidRPr="003850E7" w:rsidRDefault="00ED20A1" w:rsidP="00F04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Окрім того,</w:t>
      </w:r>
      <w:r w:rsidR="00F04F2D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Бородянською селищною радою було виявлено факт набуття </w:t>
      </w:r>
      <w:r w:rsidR="00D363E7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ТОВ «АГРОКОНТРАСТ» </w:t>
      </w:r>
      <w:r w:rsidR="00F04F2D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власності на 20 (двадцять) земельних ділянок сільськогосподарського призначення загальною площею 107,6931 га, що розташовані на території Бородянської селищної територіальної громади:</w:t>
      </w:r>
    </w:p>
    <w:p w:rsidR="00F04F2D" w:rsidRPr="003850E7" w:rsidRDefault="00F04F2D" w:rsidP="00F04F2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3221082200:04:001:0357 площею 1,2976 га;</w:t>
      </w:r>
    </w:p>
    <w:p w:rsidR="00F04F2D" w:rsidRPr="003850E7" w:rsidRDefault="00F04F2D" w:rsidP="00F04F2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3221082200:04:003:0314 площею 0,6994 га;</w:t>
      </w:r>
    </w:p>
    <w:p w:rsidR="00F04F2D" w:rsidRPr="003850E7" w:rsidRDefault="00F04F2D" w:rsidP="00F04F2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3221082200:04:001:0355 площею 3,8012 га;</w:t>
      </w:r>
    </w:p>
    <w:p w:rsidR="00F04F2D" w:rsidRPr="003850E7" w:rsidRDefault="00F04F2D" w:rsidP="00F04F2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3221082200:05:002:0023 площею 2,2464 га;</w:t>
      </w:r>
    </w:p>
    <w:p w:rsidR="00F04F2D" w:rsidRPr="003850E7" w:rsidRDefault="00F04F2D" w:rsidP="00F04F2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3221082200:04:003:0311 площею 2,7075 га;</w:t>
      </w:r>
    </w:p>
    <w:p w:rsidR="00F04F2D" w:rsidRPr="003850E7" w:rsidRDefault="00F04F2D" w:rsidP="00F04F2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3221082200:06:003:0004 площею 10,4250 га;</w:t>
      </w:r>
    </w:p>
    <w:p w:rsidR="00F04F2D" w:rsidRPr="003850E7" w:rsidRDefault="00F04F2D" w:rsidP="00F04F2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3221082200:04:001:0356 площею 0,9687 га;</w:t>
      </w:r>
    </w:p>
    <w:p w:rsidR="00F04F2D" w:rsidRPr="003850E7" w:rsidRDefault="00F04F2D" w:rsidP="00F04F2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3221086300:05:003:0385 площею 1,0736 га;</w:t>
      </w:r>
    </w:p>
    <w:p w:rsidR="00F04F2D" w:rsidRPr="003850E7" w:rsidRDefault="00F04F2D" w:rsidP="00F04F2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3221082200:05:001:0826 площею 7,8115 га;</w:t>
      </w:r>
    </w:p>
    <w:p w:rsidR="00F04F2D" w:rsidRPr="003850E7" w:rsidRDefault="00F04F2D" w:rsidP="00F04F2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3221082200:05:002:0024 площею 1,3825 га;</w:t>
      </w:r>
    </w:p>
    <w:p w:rsidR="00F04F2D" w:rsidRPr="003850E7" w:rsidRDefault="00F04F2D" w:rsidP="00F04F2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3221082200:05:001:0825 площею 4,5170 га;</w:t>
      </w:r>
    </w:p>
    <w:p w:rsidR="00F04F2D" w:rsidRPr="003850E7" w:rsidRDefault="00F04F2D" w:rsidP="00F04F2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3221082200:05:002:0022 площею 11,5515 га;</w:t>
      </w:r>
    </w:p>
    <w:p w:rsidR="00F04F2D" w:rsidRPr="003850E7" w:rsidRDefault="00F04F2D" w:rsidP="00F04F2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3221086300:05:003:0384 площею 1,0570 га;</w:t>
      </w:r>
    </w:p>
    <w:p w:rsidR="00F04F2D" w:rsidRPr="003850E7" w:rsidRDefault="00F04F2D" w:rsidP="00F04F2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3221082200:04:002:0204 площею 1,8119 га;</w:t>
      </w:r>
    </w:p>
    <w:p w:rsidR="00F04F2D" w:rsidRPr="003850E7" w:rsidRDefault="00F04F2D" w:rsidP="00F04F2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3221086300:05:003:0383 площею 1,5229 га;</w:t>
      </w:r>
    </w:p>
    <w:p w:rsidR="00F04F2D" w:rsidRPr="003850E7" w:rsidRDefault="00F04F2D" w:rsidP="00F04F2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3221082200:04:003:0310 площею 28,7883 га;</w:t>
      </w:r>
    </w:p>
    <w:p w:rsidR="00F04F2D" w:rsidRPr="003850E7" w:rsidRDefault="00F04F2D" w:rsidP="00F04F2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3221086300:05:005:0014 площею 4,6935 га;</w:t>
      </w:r>
    </w:p>
    <w:p w:rsidR="00F04F2D" w:rsidRPr="003850E7" w:rsidRDefault="00F04F2D" w:rsidP="00F04F2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3221082200:04:003:0309 площею 3,9709 га;</w:t>
      </w:r>
    </w:p>
    <w:p w:rsidR="00F04F2D" w:rsidRPr="003850E7" w:rsidRDefault="00F04F2D" w:rsidP="00F04F2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3221082200:05:002:0025 площею 4,8555 га;</w:t>
      </w:r>
    </w:p>
    <w:p w:rsidR="00F04F2D" w:rsidRPr="003850E7" w:rsidRDefault="00F04F2D" w:rsidP="00F04F2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3221082200:04:002:0205 площею 12,5112 га.</w:t>
      </w:r>
    </w:p>
    <w:p w:rsidR="00F04F2D" w:rsidRPr="003850E7" w:rsidRDefault="00F04F2D" w:rsidP="00F04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Державна реєстрація права власності на вищевказані земельні ділянки за ТОВ «АГРОКОНТРАСТ» була здійснена державним реєстратором Пристоличної сільської ради Київської області Тимошенко Ольгою Олександрівною протягом 2022-2023 років на підставі Державного акт</w:t>
      </w:r>
      <w:r w:rsidR="00724CB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право колективної власності на землю серії КВ, виданого 19.03.1996 Бородянською районною Радою народних депутатів, та витягів з Державного земельного кадастру про земельні ділянки.</w:t>
      </w:r>
    </w:p>
    <w:p w:rsidR="00F04F2D" w:rsidRPr="003850E7" w:rsidRDefault="00F04F2D" w:rsidP="00F04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відповідно до пункту 21 Перехідних положень Земельного кодексу України установлено, що з дня набрання чинності Законом України </w:t>
      </w: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 землі колективних сільськогосподарських підприємств, що припинені (крім земельних ділянок, які на день набрання чинності зазначеним Законом перебували у приватній власності), вважаються власністю територіальних громад, на території яких вони розташовані. Зазначений Закон є підставою для державної реєстрації права комунальної власності на земельні ділянки, сформовані за рахунок земель, які в силу зазначеного Закону переходять до комунальної власності.</w:t>
      </w:r>
    </w:p>
    <w:p w:rsidR="00F04F2D" w:rsidRPr="003850E7" w:rsidRDefault="00F04F2D" w:rsidP="00F04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 статті 14</w:t>
      </w: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Закону України «</w:t>
      </w:r>
      <w:r w:rsidRPr="003850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порядок виділення в натурі (на місцевості) земельних ділянок власникам земельних часток (паїв)</w:t>
      </w: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» землі, зазначені у частині четвертій статті 7 цього Закону, які залишилися у колективній власності колективного сільськогосподарського підприємства, сільськогосподарського кооперативу, сільськогосподарського акціонерного товариства, підлягають безоплатній передачі до комунальної власності територіальної громади, на території якої вони розташовані.</w:t>
      </w:r>
    </w:p>
    <w:p w:rsidR="00F04F2D" w:rsidRPr="003850E7" w:rsidRDefault="00F04F2D" w:rsidP="00F04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 про передачу у власність ТОВ «АГРОКОНТРАСТ» вищевказаних двадцят</w:t>
      </w:r>
      <w:r w:rsidR="00724CB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земельних ділянок сільськогосподарського призначення Бородянською селищною радою не приймались.</w:t>
      </w:r>
    </w:p>
    <w:p w:rsidR="00F04F2D" w:rsidRPr="003850E7" w:rsidRDefault="000766DF" w:rsidP="00F04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Бородянською селищною радою повідомляється, що а</w:t>
      </w:r>
      <w:r w:rsidR="00F04F2D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налогічна ситуація </w:t>
      </w: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04F2D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дбувається і </w:t>
      </w:r>
      <w:r w:rsidR="00F04F2D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з земельними ділянками Бучанської міської територіальної громади, а саме: набуття права власності ТОВ «АГРОКОНТРАСТ» на 12 (дванадцять) земельних ділянок сільськогосподарського призначення загальною площею 57,4625 га, що розташовані на території Здвижівського старостинського округу Бучанської міської територіальної громади:</w:t>
      </w:r>
    </w:p>
    <w:p w:rsidR="00F04F2D" w:rsidRPr="003850E7" w:rsidRDefault="00F04F2D" w:rsidP="00F04F2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3221082500:05:001:0808 площею 6,7241 га;</w:t>
      </w:r>
    </w:p>
    <w:p w:rsidR="00F04F2D" w:rsidRPr="003850E7" w:rsidRDefault="00F04F2D" w:rsidP="00F04F2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3221082500:05:001:0807 площею 4,8653 га;</w:t>
      </w:r>
    </w:p>
    <w:p w:rsidR="00F04F2D" w:rsidRPr="003850E7" w:rsidRDefault="00F04F2D" w:rsidP="00F04F2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3221082500:02:001:0275 площею 2,0427 га;</w:t>
      </w:r>
    </w:p>
    <w:p w:rsidR="00F04F2D" w:rsidRPr="003850E7" w:rsidRDefault="00F04F2D" w:rsidP="00F04F2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3221082500:02:001:0276 площею 1,9761 га;</w:t>
      </w:r>
    </w:p>
    <w:p w:rsidR="00F04F2D" w:rsidRPr="003850E7" w:rsidRDefault="00F04F2D" w:rsidP="00F04F2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3221082500:05:001:0806 площею 2,9156 га;</w:t>
      </w:r>
    </w:p>
    <w:p w:rsidR="00F04F2D" w:rsidRPr="003850E7" w:rsidRDefault="00F04F2D" w:rsidP="00F04F2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3221082500:05:001:0803 площею 6,5761 га;</w:t>
      </w:r>
    </w:p>
    <w:p w:rsidR="00F04F2D" w:rsidRPr="003850E7" w:rsidRDefault="00F04F2D" w:rsidP="00F04F2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3221082500:05:001:0804 площею 6,153 га;</w:t>
      </w:r>
    </w:p>
    <w:p w:rsidR="00F04F2D" w:rsidRPr="003850E7" w:rsidRDefault="00F04F2D" w:rsidP="00F04F2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3221082500:05:001:0805 площею 1,1761 га;</w:t>
      </w:r>
    </w:p>
    <w:p w:rsidR="00F04F2D" w:rsidRPr="003850E7" w:rsidRDefault="00F04F2D" w:rsidP="00F04F2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Кадастровий номер 3221082500:05:001:0802 площею 1,9304 га;</w:t>
      </w:r>
    </w:p>
    <w:p w:rsidR="00F04F2D" w:rsidRPr="003850E7" w:rsidRDefault="00F04F2D" w:rsidP="00F04F2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Кадастровий номер 3221082500:05:001:0801 площею 1,0727 га;</w:t>
      </w:r>
    </w:p>
    <w:p w:rsidR="00F04F2D" w:rsidRPr="003850E7" w:rsidRDefault="00F04F2D" w:rsidP="00F04F2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Кадастровий номер 3221082500:05:001:0800 площею 17,9443 га;</w:t>
      </w:r>
    </w:p>
    <w:p w:rsidR="00F04F2D" w:rsidRPr="003850E7" w:rsidRDefault="00F04F2D" w:rsidP="00F04F2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Кадастровий номер 3221082500:05:001:0799 площею 4,0861 га.</w:t>
      </w:r>
    </w:p>
    <w:p w:rsidR="00F04F2D" w:rsidRPr="003850E7" w:rsidRDefault="00F04F2D" w:rsidP="00F04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адресу Колегії були направлені скарги Бородянської селищної ради </w:t>
      </w:r>
      <w:r w:rsidR="000766DF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10-07-624 від 15.02.2023, № 42 від 29.03.2023, № 58 від 12.04.2023, № 103 від 29.05.2023 та № 104 від 30.05.2023 на діяльність державного реєстратора </w:t>
      </w: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Тимошенко Ольги Олександрівни, які відповідно до наказу Міністерства юстиції України від 29.05.2023 №1258/7 залишено без розгляду. </w:t>
      </w:r>
    </w:p>
    <w:p w:rsidR="00F04F2D" w:rsidRPr="003850E7" w:rsidRDefault="000766DF" w:rsidP="00F04F2D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</w:t>
      </w:r>
      <w:r w:rsidR="00724CB5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збройною агресією російської федерації на території Бородянської селищної територіальної громади зруйновано об’єкти критичної інфраструктури, житлового фонду, комунальні підприємства, заклади освіти, культури, охорони здоров’я та інші об’єкти. </w:t>
      </w:r>
      <w:r w:rsidR="00F04F2D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зараз, </w:t>
      </w: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діями </w:t>
      </w:r>
      <w:r w:rsidR="00F04F2D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посадових осіб ТОВ «АГРОКОНТРАСТ» </w:t>
      </w: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Колегії Бородянська селищна територіальна громада може втратити </w:t>
      </w:r>
      <w:r w:rsidR="00F04F2D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Адмінбудівл</w:t>
      </w:r>
      <w:r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04F2D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107,6931</w:t>
      </w:r>
      <w:r w:rsidR="00F04F2D" w:rsidRPr="003850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04F2D" w:rsidRPr="003850E7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га земель комунальної власності.</w:t>
      </w:r>
    </w:p>
    <w:p w:rsidR="001E773C" w:rsidRPr="003850E7" w:rsidRDefault="000766DF" w:rsidP="00F04F2D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850E7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Враховуючи зазначене вище, просимо</w:t>
      </w:r>
      <w:r w:rsidR="001E773C" w:rsidRPr="003850E7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:</w:t>
      </w:r>
    </w:p>
    <w:p w:rsidR="001E773C" w:rsidRPr="003850E7" w:rsidRDefault="001E773C" w:rsidP="00F04F2D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850E7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1) Міністерство юстиції України </w:t>
      </w:r>
      <w:r w:rsidR="00AD6BFB" w:rsidRPr="003850E7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перевірити зазначену у цьому зверненні інформацію та вжити відповідн</w:t>
      </w:r>
      <w:r w:rsidR="00724CB5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их</w:t>
      </w:r>
      <w:r w:rsidR="00AD6BFB" w:rsidRPr="003850E7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заход</w:t>
      </w:r>
      <w:r w:rsidR="00724CB5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ів</w:t>
      </w:r>
      <w:r w:rsidR="00AD6BFB" w:rsidRPr="003850E7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реагування;</w:t>
      </w:r>
    </w:p>
    <w:p w:rsidR="001E773C" w:rsidRPr="003850E7" w:rsidRDefault="001E773C" w:rsidP="00F04F2D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850E7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2) Київську обласну прокуратуру розглянути питання </w:t>
      </w:r>
      <w:r w:rsidR="00AD6BFB" w:rsidRPr="003850E7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встановлення наявності підстав для представництва інтересів Бородянської селищної територіальної громади в суді, а також у разі виявлення обставин, що можуть свідчити про вчинення кримінального правопорушення, </w:t>
      </w:r>
      <w:r w:rsidR="00AD6BFB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забезпечити швидке, повне та неупереджене </w:t>
      </w:r>
      <w:r w:rsidR="0002281F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досудове </w:t>
      </w:r>
      <w:r w:rsidR="00AD6BFB" w:rsidRPr="003850E7">
        <w:rPr>
          <w:rFonts w:ascii="Times New Roman" w:hAnsi="Times New Roman" w:cs="Times New Roman"/>
          <w:sz w:val="28"/>
          <w:szCs w:val="28"/>
          <w:shd w:val="clear" w:color="auto" w:fill="FFFFFF"/>
        </w:rPr>
        <w:t>розслідування</w:t>
      </w:r>
      <w:r w:rsidR="00AD6BFB" w:rsidRPr="003850E7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;</w:t>
      </w:r>
    </w:p>
    <w:p w:rsidR="001E773C" w:rsidRPr="003850E7" w:rsidRDefault="001E773C" w:rsidP="00F04F2D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850E7">
        <w:rPr>
          <w:rFonts w:ascii="Times New Roman" w:hAnsi="Times New Roman" w:cs="Times New Roman"/>
          <w:sz w:val="28"/>
          <w:szCs w:val="28"/>
        </w:rPr>
        <w:t>3) Головне управління Національної поліції в Київській області</w:t>
      </w:r>
      <w:r w:rsidR="00AD6BFB" w:rsidRPr="003850E7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перевірити зазначену у цьому зверненні інформацію та у разі виявлення обставин, що можуть свідчити про вчинення кримінального правопорушення, внести відповідні відомості до Єдиного реєстру досудових розслідувань та розпочати досудове розслідування.</w:t>
      </w:r>
    </w:p>
    <w:p w:rsidR="000766DF" w:rsidRDefault="000766DF" w:rsidP="000766DF">
      <w:pPr>
        <w:spacing w:after="0" w:line="240" w:lineRule="auto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724CB5" w:rsidRPr="003850E7" w:rsidRDefault="00724CB5" w:rsidP="000766DF">
      <w:pPr>
        <w:spacing w:after="0" w:line="240" w:lineRule="auto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3"/>
      </w:tblGrid>
      <w:tr w:rsidR="00724CB5" w:rsidTr="00724CB5">
        <w:tc>
          <w:tcPr>
            <w:tcW w:w="4248" w:type="dxa"/>
          </w:tcPr>
          <w:p w:rsidR="00724CB5" w:rsidRDefault="00724CB5" w:rsidP="00577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724CB5" w:rsidRPr="003850E7" w:rsidRDefault="00724CB5" w:rsidP="00724CB5">
            <w:pPr>
              <w:pStyle w:val="1"/>
              <w:shd w:val="clear" w:color="auto" w:fill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3850E7">
              <w:rPr>
                <w:rFonts w:ascii="Times New Roman" w:hAnsi="Times New Roman" w:cs="Times New Roman"/>
                <w:b/>
                <w:bCs/>
                <w:color w:val="auto"/>
                <w:lang w:bidi="uk-UA"/>
              </w:rPr>
              <w:t>Підтримано</w:t>
            </w:r>
          </w:p>
          <w:p w:rsidR="00724CB5" w:rsidRPr="003850E7" w:rsidRDefault="00724CB5" w:rsidP="00724CB5">
            <w:pPr>
              <w:pStyle w:val="1"/>
              <w:shd w:val="clear" w:color="auto" w:fill="auto"/>
              <w:tabs>
                <w:tab w:val="left" w:leader="underscore" w:pos="7324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bidi="uk-UA"/>
              </w:rPr>
            </w:pPr>
            <w:r w:rsidRPr="003850E7">
              <w:rPr>
                <w:rFonts w:ascii="Times New Roman" w:hAnsi="Times New Roman" w:cs="Times New Roman"/>
                <w:b/>
                <w:bCs/>
                <w:color w:val="auto"/>
                <w:lang w:bidi="uk-UA"/>
              </w:rPr>
              <w:t xml:space="preserve">рішенням Київської обласної ради </w:t>
            </w:r>
          </w:p>
          <w:p w:rsidR="00724CB5" w:rsidRPr="003850E7" w:rsidRDefault="00724CB5" w:rsidP="00724CB5">
            <w:pPr>
              <w:pStyle w:val="1"/>
              <w:shd w:val="clear" w:color="auto" w:fill="auto"/>
              <w:tabs>
                <w:tab w:val="left" w:leader="underscore" w:pos="7324"/>
              </w:tabs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850E7">
              <w:rPr>
                <w:rFonts w:ascii="Times New Roman" w:hAnsi="Times New Roman" w:cs="Times New Roman"/>
                <w:b/>
                <w:bCs/>
                <w:color w:val="auto"/>
                <w:lang w:bidi="uk-UA"/>
              </w:rPr>
              <w:t>від __ _____ 2023 року № ___-__-VІIІ</w:t>
            </w:r>
          </w:p>
          <w:p w:rsidR="00724CB5" w:rsidRDefault="00724CB5" w:rsidP="00577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AD2" w:rsidRPr="003850E7" w:rsidRDefault="00932AD2" w:rsidP="005770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CB5" w:rsidRPr="003850E7" w:rsidRDefault="00724CB5">
      <w:pPr>
        <w:pStyle w:val="1"/>
        <w:shd w:val="clear" w:color="auto" w:fill="auto"/>
        <w:tabs>
          <w:tab w:val="left" w:leader="underscore" w:pos="7324"/>
        </w:tabs>
        <w:ind w:left="4536" w:firstLine="20"/>
        <w:jc w:val="both"/>
        <w:rPr>
          <w:rFonts w:ascii="Times New Roman" w:hAnsi="Times New Roman" w:cs="Times New Roman"/>
          <w:color w:val="auto"/>
        </w:rPr>
      </w:pPr>
    </w:p>
    <w:sectPr w:rsidR="00724CB5" w:rsidRPr="003850E7" w:rsidSect="000766DF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29" w:rsidRDefault="009C3429" w:rsidP="00E06A1E">
      <w:pPr>
        <w:spacing w:after="0" w:line="240" w:lineRule="auto"/>
      </w:pPr>
      <w:r>
        <w:separator/>
      </w:r>
    </w:p>
  </w:endnote>
  <w:endnote w:type="continuationSeparator" w:id="0">
    <w:p w:rsidR="009C3429" w:rsidRDefault="009C3429" w:rsidP="00E0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29" w:rsidRDefault="009C3429" w:rsidP="00E06A1E">
      <w:pPr>
        <w:spacing w:after="0" w:line="240" w:lineRule="auto"/>
      </w:pPr>
      <w:r>
        <w:separator/>
      </w:r>
    </w:p>
  </w:footnote>
  <w:footnote w:type="continuationSeparator" w:id="0">
    <w:p w:rsidR="009C3429" w:rsidRDefault="009C3429" w:rsidP="00E0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298605365"/>
      <w:docPartObj>
        <w:docPartGallery w:val="Page Numbers (Top of Page)"/>
        <w:docPartUnique/>
      </w:docPartObj>
    </w:sdtPr>
    <w:sdtEndPr/>
    <w:sdtContent>
      <w:p w:rsidR="00E06A1E" w:rsidRPr="00E06A1E" w:rsidRDefault="00E06A1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6A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6A1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6A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E4D" w:rsidRPr="00AD3E4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E06A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6A1E" w:rsidRDefault="00E06A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2ACF"/>
    <w:multiLevelType w:val="hybridMultilevel"/>
    <w:tmpl w:val="B010EAD8"/>
    <w:lvl w:ilvl="0" w:tplc="01069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F26913"/>
    <w:multiLevelType w:val="hybridMultilevel"/>
    <w:tmpl w:val="D910FC84"/>
    <w:lvl w:ilvl="0" w:tplc="06960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CF"/>
    <w:rsid w:val="0002281F"/>
    <w:rsid w:val="000766DF"/>
    <w:rsid w:val="00191E18"/>
    <w:rsid w:val="001E773C"/>
    <w:rsid w:val="0036332C"/>
    <w:rsid w:val="003850E7"/>
    <w:rsid w:val="0040194E"/>
    <w:rsid w:val="004156B2"/>
    <w:rsid w:val="00424E03"/>
    <w:rsid w:val="005255BD"/>
    <w:rsid w:val="00577065"/>
    <w:rsid w:val="00624073"/>
    <w:rsid w:val="0064104F"/>
    <w:rsid w:val="006B7C08"/>
    <w:rsid w:val="00724CB5"/>
    <w:rsid w:val="007C6858"/>
    <w:rsid w:val="00833ECF"/>
    <w:rsid w:val="00912134"/>
    <w:rsid w:val="00932AD2"/>
    <w:rsid w:val="00944CEC"/>
    <w:rsid w:val="009C3429"/>
    <w:rsid w:val="00AD3E4D"/>
    <w:rsid w:val="00AD6BFB"/>
    <w:rsid w:val="00AF4D1F"/>
    <w:rsid w:val="00B97C17"/>
    <w:rsid w:val="00C11347"/>
    <w:rsid w:val="00C51118"/>
    <w:rsid w:val="00C956AB"/>
    <w:rsid w:val="00D213E5"/>
    <w:rsid w:val="00D363E7"/>
    <w:rsid w:val="00E06A1E"/>
    <w:rsid w:val="00E54B36"/>
    <w:rsid w:val="00EA58D9"/>
    <w:rsid w:val="00ED20A1"/>
    <w:rsid w:val="00F04F2D"/>
    <w:rsid w:val="00F6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E339A-E33D-4614-BED7-101346A8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77065"/>
    <w:rPr>
      <w:color w:val="747476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577065"/>
    <w:pPr>
      <w:widowControl w:val="0"/>
      <w:shd w:val="clear" w:color="auto" w:fill="FFFFFF"/>
      <w:spacing w:after="0" w:line="240" w:lineRule="auto"/>
      <w:ind w:firstLine="400"/>
    </w:pPr>
    <w:rPr>
      <w:color w:val="747476"/>
      <w:sz w:val="28"/>
      <w:szCs w:val="28"/>
    </w:rPr>
  </w:style>
  <w:style w:type="paragraph" w:customStyle="1" w:styleId="rvps2">
    <w:name w:val="rvps2"/>
    <w:basedOn w:val="a"/>
    <w:rsid w:val="0093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E06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A1E"/>
  </w:style>
  <w:style w:type="paragraph" w:styleId="a7">
    <w:name w:val="footer"/>
    <w:basedOn w:val="a"/>
    <w:link w:val="a8"/>
    <w:uiPriority w:val="99"/>
    <w:unhideWhenUsed/>
    <w:rsid w:val="00E06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A1E"/>
  </w:style>
  <w:style w:type="paragraph" w:styleId="a9">
    <w:name w:val="Balloon Text"/>
    <w:basedOn w:val="a"/>
    <w:link w:val="aa"/>
    <w:uiPriority w:val="99"/>
    <w:semiHidden/>
    <w:unhideWhenUsed/>
    <w:rsid w:val="00E06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6A1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04F2D"/>
    <w:pPr>
      <w:spacing w:after="200" w:line="276" w:lineRule="auto"/>
      <w:ind w:left="720"/>
      <w:contextualSpacing/>
    </w:pPr>
    <w:rPr>
      <w:lang w:val="ru-RU"/>
    </w:rPr>
  </w:style>
  <w:style w:type="character" w:styleId="ac">
    <w:name w:val="Hyperlink"/>
    <w:basedOn w:val="a0"/>
    <w:uiPriority w:val="99"/>
    <w:semiHidden/>
    <w:unhideWhenUsed/>
    <w:rsid w:val="00F04F2D"/>
    <w:rPr>
      <w:color w:val="0000FF"/>
      <w:u w:val="single"/>
    </w:rPr>
  </w:style>
  <w:style w:type="character" w:styleId="ad">
    <w:name w:val="Emphasis"/>
    <w:basedOn w:val="a0"/>
    <w:uiPriority w:val="20"/>
    <w:qFormat/>
    <w:rsid w:val="00F04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Радівіловський Б.</dc:creator>
  <cp:keywords/>
  <dc:description/>
  <cp:lastModifiedBy>КОР_918</cp:lastModifiedBy>
  <cp:revision>2</cp:revision>
  <cp:lastPrinted>2023-06-06T06:29:00Z</cp:lastPrinted>
  <dcterms:created xsi:type="dcterms:W3CDTF">2023-06-09T10:04:00Z</dcterms:created>
  <dcterms:modified xsi:type="dcterms:W3CDTF">2023-06-09T10:04:00Z</dcterms:modified>
</cp:coreProperties>
</file>