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42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190" cy="8718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405" y="3344073"/>
                          <a:ext cx="631190" cy="871855"/>
                          <a:chOff x="5030405" y="3344073"/>
                          <a:chExt cx="631190" cy="871855"/>
                        </a:xfrm>
                      </wpg:grpSpPr>
                      <wpg:grpSp>
                        <wpg:cNvGrpSpPr/>
                        <wpg:grpSpPr>
                          <a:xfrm>
                            <a:off x="5030405" y="3344073"/>
                            <a:ext cx="631190" cy="871855"/>
                            <a:chOff x="0" y="0"/>
                            <a:chExt cx="6309" cy="872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161" y="0"/>
                              <a:ext cx="592" cy="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161" y="2059"/>
                              <a:ext cx="592" cy="2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49"/>
                              <a:ext cx="6309" cy="8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190" cy="87185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16" w:lineRule="auto"/>
        <w:ind w:left="3536" w:right="2095" w:firstLine="1382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bf8f00"/>
          <w:sz w:val="72"/>
          <w:szCs w:val="72"/>
          <w:rtl w:val="0"/>
        </w:rPr>
        <w:t xml:space="preserve">ДЕПУТАТ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128"/>
        <w:rPr/>
      </w:pPr>
      <w:r w:rsidDel="00000000" w:rsidR="00000000" w:rsidRPr="00000000">
        <w:rPr>
          <w:rtl w:val="0"/>
        </w:rPr>
        <w:t xml:space="preserve">КИЇВСЬКОЇ МІСЬКОЇ РАДИ IX СКЛИКАННЯ </w:t>
      </w:r>
    </w:p>
    <w:p w:rsidR="00000000" w:rsidDel="00000000" w:rsidP="00000000" w:rsidRDefault="00000000" w:rsidRPr="00000000" w14:paraId="00000004">
      <w:pPr>
        <w:spacing w:after="111" w:lineRule="auto"/>
        <w:ind w:left="-5" w:right="-6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210300" cy="1130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0850" y="3723485"/>
                          <a:ext cx="6210300" cy="113030"/>
                          <a:chOff x="2240850" y="3723485"/>
                          <a:chExt cx="6210300" cy="150340"/>
                        </a:xfrm>
                      </wpg:grpSpPr>
                      <wpg:grpSp>
                        <wpg:cNvGrpSpPr/>
                        <wpg:grpSpPr>
                          <a:xfrm>
                            <a:off x="2240850" y="3723485"/>
                            <a:ext cx="6210300" cy="150340"/>
                            <a:chOff x="0" y="0"/>
                            <a:chExt cx="62103" cy="15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10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0" y="0"/>
                              <a:ext cx="340" cy="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571"/>
                              <a:ext cx="62103" cy="430"/>
                            </a:xfrm>
                            <a:custGeom>
                              <a:rect b="b" l="l" r="r" t="t"/>
                              <a:pathLst>
                                <a:path extrusionOk="0" h="42926" w="6210326">
                                  <a:moveTo>
                                    <a:pt x="25" y="0"/>
                                  </a:moveTo>
                                  <a:lnTo>
                                    <a:pt x="6210326" y="6350"/>
                                  </a:lnTo>
                                  <a:lnTo>
                                    <a:pt x="6210326" y="42926"/>
                                  </a:lnTo>
                                  <a:lnTo>
                                    <a:pt x="0" y="3657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267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328"/>
                              <a:ext cx="62103" cy="185"/>
                            </a:xfrm>
                            <a:custGeom>
                              <a:rect b="b" l="l" r="r" t="t"/>
                              <a:pathLst>
                                <a:path extrusionOk="0" h="18542" w="6210288">
                                  <a:moveTo>
                                    <a:pt x="13" y="0"/>
                                  </a:moveTo>
                                  <a:lnTo>
                                    <a:pt x="6210288" y="6350"/>
                                  </a:lnTo>
                                  <a:lnTo>
                                    <a:pt x="6210288" y="1854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267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10300" cy="1130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113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«20» квітня 2021 р.             </w:t>
        <w:tab/>
        <w:t xml:space="preserve">                                                      № 08/279/09/245-54</w:t>
      </w:r>
      <w:r w:rsidDel="00000000" w:rsidR="00000000" w:rsidRPr="00000000">
        <w:rPr>
          <w:rtl w:val="0"/>
        </w:rPr>
      </w:r>
    </w:p>
    <w:tbl>
      <w:tblPr>
        <w:tblStyle w:val="Table1"/>
        <w:tblW w:w="5421.0" w:type="dxa"/>
        <w:jc w:val="left"/>
        <w:tblInd w:w="40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21"/>
        <w:tblGridChange w:id="0">
          <w:tblGrid>
            <w:gridCol w:w="5421"/>
          </w:tblGrid>
        </w:tblGridChange>
      </w:tblGrid>
      <w:tr>
        <w:trPr>
          <w:trHeight w:val="1765" w:hRule="atLeast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Голові Дніпровської районної в місті Києві державної адміністрації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Щербаку Ігорю Михайловичу </w:t>
            </w:r>
          </w:p>
          <w:p w:rsidR="00000000" w:rsidDel="00000000" w:rsidP="00000000" w:rsidRDefault="00000000" w:rsidRPr="00000000" w14:paraId="00000008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Merriweather" w:cs="Merriweather" w:eastAsia="Merriweather" w:hAnsi="Merriweather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02094, м. Київ, бульвар Праці,1/1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здійснення перевірки технічних колодязів,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каналізаційних колекторів на предмет безпечності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 закритості в Дніпровському районі міста Києва</w:t>
      </w:r>
    </w:p>
    <w:p w:rsidR="00000000" w:rsidDel="00000000" w:rsidP="00000000" w:rsidRDefault="00000000" w:rsidRPr="00000000" w14:paraId="0000000D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порядку ст. 13 Закону України «Про статус депутатів місцевих рад»)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Шановний Ігоре Михайловичу!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 відкритих джерел мені стало відомо, що 19 квітня 2021 року, ввечері навпроти будинку на вул. Вифлеємській, 12 у Дніпровському районі столиці хлопчик впав у технічний колодязь.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Відповідно до пункту 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протоколом від 20 березня 2021 року № 11 Державної комісії з питань техногенно-екологічної безпеки та надзвичайних ситуацій на території м. Києва встановлено з 00 год 00 хв. 23 березня 2021 року «червоний» рівень епідемічної небезпеки поширення гострої респіраторної хвороби COVID-19, спричиненої коронавірусом SARS-CoV-2, з застосуванням обмежувальних протиепідемічних заходів, передбачених для «червоного» рівня епідемічної небезпеки.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Враховуючи той факт, що наразі закриті школи й дитячі садочки, а діти різного віку перебувають вдома і самостійно та/або з батьками планують свій день під час карантину з урахуванням рекомендацій Всесвітньої організації охорони здоров’я, а саме діти мають якомога частіше рухатися і перебувати на свіжому повітрі. Більш того, згідно рекомендацій доктора медичних наук, голови правління Української Академії Педіатричних Спеціальностей Маменко М., перебування на свіжому повітрі – обов’язкове, незалежно від локдауну. Слід пам’ятати, що COVID-19 – не повітряна інфекція, вона передається лише від людини до людини. Тому гуляти, дотримуючись соціальної дистанції необхідно.</w:t>
      </w:r>
    </w:p>
    <w:p w:rsidR="00000000" w:rsidDel="00000000" w:rsidP="00000000" w:rsidRDefault="00000000" w:rsidRPr="00000000" w14:paraId="00000014">
      <w:pPr>
        <w:jc w:val="both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Отже, з метою уникнення подібних ситуацій, яка мала місце навпроти будинку на вул. Вифлеємській, 12 у майбутньому,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провести перевірку всіх технічних колодязів, каналізаційних колекторів на предмет безпечності та закритості в Дніпровському районі міста Києва. У разі виявлення пошкоджених та відкритих люків вжити невідкладних заходів щодо їх закриття. Про результати здійснення перевірки прошу повідомити мене особисто за адресою: вул. Хрещатик, 36, м. Київ, 01044.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Депутат ІХ скликання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Київської міської ради </w:t>
        <w:tab/>
        <w:tab/>
        <w:tab/>
        <w:tab/>
        <w:tab/>
        <w:tab/>
        <w:tab/>
        <w:t xml:space="preserve">Юлія УЛАСИК</w:t>
      </w:r>
    </w:p>
    <w:sectPr>
      <w:pgSz w:h="16838" w:w="11906" w:orient="portrait"/>
      <w:pgMar w:bottom="426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Bookman Old Style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28" w:right="0" w:hanging="128"/>
      <w:jc w:val="center"/>
    </w:pPr>
    <w:rPr>
      <w:rFonts w:ascii="Calibri" w:cs="Calibri" w:eastAsia="Calibri" w:hAnsi="Calibri"/>
      <w:b w:val="0"/>
      <w:i w:val="0"/>
      <w:smallCaps w:val="0"/>
      <w:strike w:val="0"/>
      <w:color w:val="bf8f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