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ind w:left="720" w:firstLine="0"/>
        <w:jc w:val="center"/>
        <w:rPr>
          <w:b w:val="1"/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Повышение уровня информированности жителей столицы в вопросах гендерного равенства, влияния и преодоления стереотипов, распространение успешных европейский практик достижения гендерного равенства: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1,7 млн гривен </w:t>
      </w:r>
      <w:r w:rsidDel="00000000" w:rsidR="00000000" w:rsidRPr="00000000">
        <w:rPr>
          <w:color w:val="111111"/>
          <w:highlight w:val="white"/>
          <w:rtl w:val="0"/>
        </w:rPr>
        <w:t xml:space="preserve">- на организацию и проведение Киевского форума равных прав и возможностей “Сила в равенстве”;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1,03 млн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на повышение осознанности и формирование гендерной чувствительности киевлянок путем проведения информационно-просветительских, адвокационных и коммуникационных кампаний о гендерном равенстве;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947 тыс.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на разработку, изготовление и распространение полиграфической продукции, информационных, справочных, имиджевых, презентационных и просветительских, методических материалов, пособий и информационных видеоматериалов относительно гендерного равенства;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412 тыс.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на проведение круглых столов, публичных отчетов и презентаций, конгрессов, общественных слушаний, акций, а также внедрение инициатив поощрения медиа к социальной рекламе относительно гендерного равенства;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135 тыс. гривен </w:t>
      </w:r>
      <w:r w:rsidDel="00000000" w:rsidR="00000000" w:rsidRPr="00000000">
        <w:rPr>
          <w:color w:val="111111"/>
          <w:highlight w:val="white"/>
          <w:rtl w:val="0"/>
        </w:rPr>
        <w:t xml:space="preserve">- на проведение тренингов по цифровой грамотности для женщин, которые принадлежат к наиболее уязвимым группам;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6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56 тыс. гривен</w:t>
      </w:r>
      <w:r w:rsidDel="00000000" w:rsidR="00000000" w:rsidRPr="00000000">
        <w:rPr>
          <w:color w:val="111111"/>
          <w:highlight w:val="white"/>
          <w:rtl w:val="0"/>
        </w:rPr>
        <w:t xml:space="preserve"> - на организацию и проведение совместных адвокационных и коммуникационных  мероприятий для празднования кампании ООН “16 дней против насилия”, Международного женского дня, кампании ООН Женщины HeForShe.</w:t>
      </w:r>
    </w:p>
    <w:p w:rsidR="00000000" w:rsidDel="00000000" w:rsidP="00000000" w:rsidRDefault="00000000" w:rsidRPr="00000000" w14:paraId="00000008">
      <w:pPr>
        <w:spacing w:before="200" w:lineRule="auto"/>
        <w:ind w:left="720" w:firstLine="0"/>
        <w:jc w:val="center"/>
        <w:rPr>
          <w:color w:val="11111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