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Мероприятия по своевременному выявлению и профилактике заболеваний </w:t>
      </w:r>
      <w:r w:rsidDel="00000000" w:rsidR="00000000" w:rsidRPr="00000000">
        <w:rPr>
          <w:b w:val="1"/>
          <w:color w:val="111111"/>
          <w:rtl w:val="0"/>
        </w:rPr>
        <w:t xml:space="preserve">городской целевой программы “Общественное здоровье» на 2022-2025 годы</w:t>
      </w:r>
      <w:r w:rsidDel="00000000" w:rsidR="00000000" w:rsidRPr="00000000">
        <w:rPr>
          <w:b w:val="1"/>
          <w:color w:val="111111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126,19 млн гривен - диагностика инфекционных заболеваний;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115,3 млн гривен - профилактика развития цервикального рака шейки матки;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104,51 млн гривен - скрининг населения для определения уровня холестерина;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67,29 млн гривен - расширение неонатального скрининга новорожденных детей на наследственные болезни обмена веществ;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47,7 млн гривен - профилактика гемолитических заболеваний новорожденных;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29,08 млн гривен - скрининг донорской крови и ее компонентов на наличие маркеров гемотрансмиссивных инфекций;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27,28 млн гривен - проведение предсезонной иммунопрофилактики гриппа медработников;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22,37 млн гривен - диагностика населения по группе риска на выявление колоректального рака;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18,44 млн гривен - скрининг населения с целью ранней диагностики сахарного диабета;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16,52 млн гривен - скрининг населения на гепатит С по группам риска, определенным стандартами медицинской помощи;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15,42 млн гривен - скрининг населения на гепатит В по группам риска, определенным стандартами медицинской помощи;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11,45 млн гривен - мониторинг состояния течения болезни остеопорозом;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10,89 млн гривен - проведение скрининговых обследований детей и беременных женщин для выявления тиреоидного статуса;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6,07 млн гривен - диагностическое цитологическое обследование женщин на рак шейки матки;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4,87 млн гривен - диагностика пациентов с позитивным результатов обследования на вирусный гепатит С,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4,19 млн гривен - проведение прививок групп эпидемиологического риска для снижения риска заболевания гепатитом В;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2,76 млн гривен - экспертиза результатов скрининга рака молочной железы;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2,07 млн гривен - диагностика население на остеопороз;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972,3 тыс. гривен - профилактика врожденных аномалий путем обеспечения беременных женщин в первый триместр беременности фолиевой кислотой;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792,2 тыс. гривен - диагностика пациентов с позитивным результатов обследования на вирусный гепатит В;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