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1903"/>
        <w:rPr/>
      </w:pPr>
      <w:r w:rsidDel="00000000" w:rsidR="00000000" w:rsidRPr="00000000">
        <w:rPr>
          <w:color w:val="ffc000"/>
          <w:rtl w:val="0"/>
        </w:rPr>
        <w:t xml:space="preserve">ДЕПУТАТ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2800096</wp:posOffset>
            </wp:positionH>
            <wp:positionV relativeFrom="paragraph">
              <wp:posOffset>-764927</wp:posOffset>
            </wp:positionV>
            <wp:extent cx="629412" cy="8671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412" cy="867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" w:before="0" w:line="320" w:lineRule="auto"/>
        <w:ind w:left="2018" w:right="201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c0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6" w:lineRule="auto"/>
        <w:ind w:left="-1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10935" cy="6731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40533" y="3746345"/>
                          <a:ext cx="6210935" cy="67310"/>
                          <a:chOff x="2240533" y="3746345"/>
                          <a:chExt cx="6210935" cy="67310"/>
                        </a:xfrm>
                      </wpg:grpSpPr>
                      <wpg:grpSp>
                        <wpg:cNvGrpSpPr/>
                        <wpg:grpSpPr>
                          <a:xfrm>
                            <a:off x="2240533" y="3746345"/>
                            <a:ext cx="6210935" cy="67310"/>
                            <a:chOff x="0" y="0"/>
                            <a:chExt cx="9781" cy="10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77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781" cy="106"/>
                            </a:xfrm>
                            <a:custGeom>
                              <a:rect b="b" l="l" r="r" t="t"/>
                              <a:pathLst>
                                <a:path extrusionOk="0" h="106" w="9781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780" y="29"/>
                                  </a:lnTo>
                                  <a:lnTo>
                                    <a:pt x="9780" y="1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38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9780" y="106"/>
                                  </a:lnTo>
                                  <a:lnTo>
                                    <a:pt x="9780" y="4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57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10935" cy="6731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935" cy="673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15"/>
          <w:tab w:val="left" w:pos="2610"/>
          <w:tab w:val="left" w:pos="6800"/>
          <w:tab w:val="left" w:pos="9354"/>
        </w:tabs>
        <w:spacing w:before="223" w:lineRule="auto"/>
        <w:ind w:left="11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»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2021 р.</w:t>
        <w:tab/>
        <w:t xml:space="preserve">№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4650" w:right="1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9" w:lineRule="auto"/>
        <w:ind w:left="4653" w:right="28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Начальнику Головного управління ДСНС України у місті Києві генерал-майору служби цивільного захисту</w:t>
      </w:r>
    </w:p>
    <w:p w:rsidR="00000000" w:rsidDel="00000000" w:rsidP="00000000" w:rsidRDefault="00000000" w:rsidRPr="00000000" w14:paraId="0000000D">
      <w:pPr>
        <w:spacing w:before="89" w:lineRule="auto"/>
        <w:ind w:left="4653" w:right="28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Андрію ВАТОЛІНУ</w:t>
      </w:r>
    </w:p>
    <w:p w:rsidR="00000000" w:rsidDel="00000000" w:rsidP="00000000" w:rsidRDefault="00000000" w:rsidRPr="00000000" w14:paraId="0000000E">
      <w:pPr>
        <w:spacing w:before="89" w:lineRule="auto"/>
        <w:ind w:left="4653" w:right="28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9" w:lineRule="auto"/>
        <w:ind w:left="4653" w:right="289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Начальнику Головного управління поліції Національної поліції у місті Києві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933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Івану ВИГІВСЬКОМУ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933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933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017" w:right="2018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933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положень Конституції України, статей 2, 12, 13 Закону України «Про статус депутатів місцевих рад», Регламенту Київської міської ради, затвердженого рішенням Київської міської ради від 04.11.2021 року </w:t>
        <w:br w:type="textWrapping"/>
        <w:t xml:space="preserve">№ 3135/3176, звертаюсь з наступним.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превеликий жаль, у нашому місті на протязі багатьох років спостерігається жахлива закономірність: святкові дні супроводжують пожари. Горять об’єкти культурної спадщини, історична забудова, зони відпочинку, ринки і т.ін…. Всі розуміють, що ці пожари не є випадковими. Проте, смішні штрафні санкції, бездіяльність влади, що трактується як мовчазна згода, подальші погодження чиновниками нових забудов на місці згарищ породили схему вирішення проблемних питань забудовниками.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Так, за минулі святкові дні горіли: ринок «Полісся» на площі Шевченка, розважальний комплекс ЮБК на Трухановому острові, готель Вишеград, склади на вул. Алмаатинській та яхт-клуб у Гідропарку...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Попереду маємо ще три святкові дні, страшно уявити, що зазначений перелік може поповнитись.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Мене, як депутата Київської міської ради IX скликання не залишає у спокої безкарне свавілля забудовників, що відбувається в столиці. Пропоную покласти цьому край.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Наразі, 4 січня сталась пожежа на території яхт-клубу Гідропарку у Дніпровському районі столиці.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1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Згоріла двоповерхова будівля на території яхт-клубу, який не перебуває на обліку, як пам’ятка або об’єкт культурної спадщини, проте розташовується у зоні охоронюваного ландшафту (відповідно до Генерального плану міста Києва та проєкту планування його приміської зони на період до 2020 року, затвердженого рішенням Київради від 28.03.2002 № 370/1804, розпорядження Київської міської державної адміністрації від 17.05.2002 р. № 979 «Про внесення змін та доповнень до рішення виконкому Київської міської Ради народних депутатів від 16.07.1979 № 920 «Про уточнення меж історико-культурних заповідників і зон охорони пам’яток історії та культури в м. Києві» (в редакції розпорядження виконавчого органу Київської міської ради (Київської міської державної адміністрації) від 25.12.2007 № 1714), в межах пам’ятки ландшафту і історії місцевого значення «Історичний ландшафт Київських гір і долини р. Дніпра» (наказ Міністерства культури і туризму України від 03.02.2010 № 58/0/16-10, в редакції наказу Міністерства культури України від 16.06.2011 № 453/0/16-11, охоронний № 560-Кв).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08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викладеного, з метою захисту інтересів територіальної громади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1E">
      <w:pPr>
        <w:pStyle w:val="Heading1"/>
        <w:spacing w:before="124" w:lineRule="auto"/>
        <w:ind w:left="2018" w:right="201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124" w:lineRule="auto"/>
        <w:ind w:left="2018" w:right="2015" w:firstLine="0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20">
      <w:pPr>
        <w:pStyle w:val="Heading1"/>
        <w:spacing w:before="124" w:lineRule="auto"/>
        <w:ind w:left="2018" w:right="201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6" w:right="1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Головне управління ДСНС України у місті Києві: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" w:right="105" w:hanging="36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копії документів за фактом пожежі на території яхт-клубу у Гідропарку (акт про пожежу, картку обліку пожежі, картку підрахунку побічного збитку, звіт про причину виникнення пожежі);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" w:right="10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повідомити чи передавалась інформація про зазначену пожежу будівлі до Дніпровського управління поліції ГУ НП у місті Києві. </w:t>
      </w:r>
    </w:p>
    <w:p w:rsidR="00000000" w:rsidDel="00000000" w:rsidP="00000000" w:rsidRDefault="00000000" w:rsidRPr="00000000" w14:paraId="00000024">
      <w:pPr>
        <w:pStyle w:val="Heading1"/>
        <w:tabs>
          <w:tab w:val="left" w:pos="966"/>
        </w:tabs>
        <w:ind w:right="112" w:firstLine="114"/>
        <w:jc w:val="left"/>
        <w:rPr/>
      </w:pPr>
      <w:r w:rsidDel="00000000" w:rsidR="00000000" w:rsidRPr="00000000">
        <w:rPr>
          <w:rtl w:val="0"/>
        </w:rPr>
        <w:tab/>
        <w:t xml:space="preserve">Головне управління поліції НП у місті Києві: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" w:right="10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інформацію щодо внесення до єдиного реєстру досудових розслідувань вказаного правопорушення та за якою статтею Кримінального Кодексу України;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" w:right="10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повне та об’єктивне розслідування даного злочину зі встановленням винних осіб та притягнення їх до відповідальності.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10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14" w:right="109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Відповідь прошу надати у встановлені законодавством України строки за допомогою системи електронного документообігу «Аскод», у разі відсутності зазначеної системи – на електронну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gromadskapt@gmail.com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або на поштову адресу 04210, м. Київ, вул. Оболонська Набережна, 19, корпус 5.</w:t>
      </w:r>
    </w:p>
    <w:p w:rsidR="00000000" w:rsidDel="00000000" w:rsidP="00000000" w:rsidRDefault="00000000" w:rsidRPr="00000000" w14:paraId="00000029">
      <w:pPr>
        <w:pStyle w:val="Heading1"/>
        <w:tabs>
          <w:tab w:val="left" w:pos="6635"/>
        </w:tabs>
        <w:spacing w:before="212" w:lineRule="auto"/>
        <w:ind w:firstLine="1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left" w:pos="6635"/>
        </w:tabs>
        <w:spacing w:before="212" w:lineRule="auto"/>
        <w:ind w:firstLine="114"/>
        <w:rPr/>
      </w:pPr>
      <w:r w:rsidDel="00000000" w:rsidR="00000000" w:rsidRPr="00000000">
        <w:rPr>
          <w:rtl w:val="0"/>
        </w:rPr>
        <w:t xml:space="preserve">Депутат</w:t>
        <w:tab/>
        <w:t xml:space="preserve">Владислав ТРУБІЦИН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64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+38 (063) 102 08 24</w:t>
      </w:r>
    </w:p>
    <w:sectPr>
      <w:pgSz w:h="16840" w:w="11910" w:orient="portrait"/>
      <w:pgMar w:bottom="1701" w:top="1135" w:left="1360" w:right="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7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4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="826" w:lineRule="auto"/>
      <w:ind w:left="1903" w:right="201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