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3"/>
        <w:shd w:fill="ffffff" w:val="clear"/>
        <w:spacing w:after="120" w:before="120" w:lineRule="auto"/>
        <w:contextualSpacing w:val="0"/>
        <w:rPr>
          <w:rFonts w:ascii="Trebuchet MS" w:cs="Trebuchet MS" w:eastAsia="Trebuchet MS" w:hAnsi="Trebuchet MS"/>
          <w:b w:val="0"/>
          <w:color w:val="1e9cdb"/>
          <w:sz w:val="41"/>
          <w:szCs w:val="41"/>
        </w:rPr>
      </w:pPr>
      <w:bookmarkStart w:colFirst="0" w:colLast="0" w:name="_gjdgxs" w:id="0"/>
      <w:bookmarkEnd w:id="0"/>
      <w:r w:rsidDel="00000000" w:rsidR="00000000" w:rsidRPr="00000000">
        <w:rPr>
          <w:rFonts w:ascii="Arial" w:cs="Arial" w:eastAsia="Arial" w:hAnsi="Arial"/>
          <w:color w:val="222222"/>
          <w:sz w:val="19"/>
          <w:szCs w:val="19"/>
          <w:highlight w:val="white"/>
          <w:rtl w:val="0"/>
        </w:rPr>
        <w:t xml:space="preserve"> </w:t>
      </w:r>
      <w:r w:rsidDel="00000000" w:rsidR="00000000" w:rsidRPr="00000000">
        <w:rPr>
          <w:rtl w:val="0"/>
        </w:rPr>
      </w:r>
    </w:p>
    <w:p w:rsidR="00000000" w:rsidDel="00000000" w:rsidP="00000000" w:rsidRDefault="00000000" w:rsidRPr="00000000" w14:paraId="00000001">
      <w:pPr>
        <w:contextualSpacing w:val="0"/>
        <w:rPr>
          <w:rFonts w:ascii="Arial" w:cs="Arial" w:eastAsia="Arial" w:hAnsi="Arial"/>
          <w:color w:val="222222"/>
          <w:sz w:val="19"/>
          <w:szCs w:val="19"/>
        </w:rPr>
      </w:pPr>
      <w:r w:rsidDel="00000000" w:rsidR="00000000" w:rsidRPr="00000000">
        <w:rPr>
          <w:rFonts w:ascii="Arial" w:cs="Arial" w:eastAsia="Arial" w:hAnsi="Arial"/>
          <w:color w:val="222222"/>
          <w:sz w:val="19"/>
          <w:szCs w:val="19"/>
          <w:rtl w:val="0"/>
        </w:rPr>
        <w:br w:type="textWrapping"/>
      </w:r>
    </w:p>
    <w:p w:rsidR="00000000" w:rsidDel="00000000" w:rsidP="00000000" w:rsidRDefault="00000000" w:rsidRPr="00000000" w14:paraId="00000002">
      <w:pPr>
        <w:contextualSpacing w:val="0"/>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03">
      <w:pPr>
        <w:contextualSpacing w:val="0"/>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04">
      <w:pPr>
        <w:contextualSpacing w:val="0"/>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05">
      <w:pPr>
        <w:contextualSpacing w:val="0"/>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06">
      <w:pPr>
        <w:contextualSpacing w:val="0"/>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07">
      <w:pPr>
        <w:spacing w:after="0" w:line="240" w:lineRule="auto"/>
        <w:contextualSpacing w:val="0"/>
        <w:jc w:val="center"/>
        <w:rPr/>
      </w:pPr>
      <w:r w:rsidDel="00000000" w:rsidR="00000000" w:rsidRPr="00000000">
        <w:rPr>
          <w:rtl w:val="0"/>
        </w:rPr>
        <w:t xml:space="preserve">                                                                                    Начальнику управління контрольно-аналітичного</w:t>
      </w:r>
    </w:p>
    <w:p w:rsidR="00000000" w:rsidDel="00000000" w:rsidP="00000000" w:rsidRDefault="00000000" w:rsidRPr="00000000" w14:paraId="00000008">
      <w:pPr>
        <w:spacing w:after="0" w:line="240" w:lineRule="auto"/>
        <w:contextualSpacing w:val="0"/>
        <w:jc w:val="center"/>
        <w:rPr/>
      </w:pPr>
      <w:r w:rsidDel="00000000" w:rsidR="00000000" w:rsidRPr="00000000">
        <w:rPr>
          <w:rtl w:val="0"/>
        </w:rPr>
        <w:t xml:space="preserve">                                                                                      Забезпечення заступників голови Київської міської</w:t>
      </w:r>
    </w:p>
    <w:p w:rsidR="00000000" w:rsidDel="00000000" w:rsidP="00000000" w:rsidRDefault="00000000" w:rsidRPr="00000000" w14:paraId="00000009">
      <w:pPr>
        <w:spacing w:after="0" w:line="240" w:lineRule="auto"/>
        <w:contextualSpacing w:val="0"/>
        <w:jc w:val="right"/>
        <w:rPr/>
      </w:pPr>
      <w:r w:rsidDel="00000000" w:rsidR="00000000" w:rsidRPr="00000000">
        <w:rPr>
          <w:rtl w:val="0"/>
        </w:rPr>
        <w:t xml:space="preserve"> Державної адміністрації, голові тендерного комітету</w:t>
      </w:r>
    </w:p>
    <w:p w:rsidR="00000000" w:rsidDel="00000000" w:rsidP="00000000" w:rsidRDefault="00000000" w:rsidRPr="00000000" w14:paraId="0000000A">
      <w:pPr>
        <w:spacing w:after="0" w:line="240" w:lineRule="auto"/>
        <w:contextualSpacing w:val="0"/>
        <w:jc w:val="center"/>
        <w:rPr>
          <w:b w:val="1"/>
        </w:rPr>
      </w:pPr>
      <w:r w:rsidDel="00000000" w:rsidR="00000000" w:rsidRPr="00000000">
        <w:rPr>
          <w:rtl w:val="0"/>
        </w:rPr>
        <w:t xml:space="preserve">                  </w:t>
      </w:r>
      <w:r w:rsidDel="00000000" w:rsidR="00000000" w:rsidRPr="00000000">
        <w:rPr>
          <w:b w:val="1"/>
          <w:rtl w:val="0"/>
        </w:rPr>
        <w:t xml:space="preserve">Ставрояні С.М.</w:t>
      </w:r>
    </w:p>
    <w:p w:rsidR="00000000" w:rsidDel="00000000" w:rsidP="00000000" w:rsidRDefault="00000000" w:rsidRPr="00000000" w14:paraId="0000000B">
      <w:pPr>
        <w:contextualSpacing w:val="0"/>
        <w:rPr>
          <w:i w:val="1"/>
        </w:rPr>
      </w:pPr>
      <w:r w:rsidDel="00000000" w:rsidR="00000000" w:rsidRPr="00000000">
        <w:rPr>
          <w:i w:val="1"/>
          <w:rtl w:val="0"/>
        </w:rPr>
        <w:t xml:space="preserve">                                                                                         адреса: 01044, м. Київ, вул. Хрещатик 36 </w:t>
      </w:r>
    </w:p>
    <w:p w:rsidR="00000000" w:rsidDel="00000000" w:rsidP="00000000" w:rsidRDefault="00000000" w:rsidRPr="00000000" w14:paraId="0000000C">
      <w:pPr>
        <w:contextualSpacing w:val="0"/>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14:paraId="0000000D">
      <w:pPr>
        <w:spacing w:after="0" w:before="0" w:lineRule="auto"/>
        <w:ind w:firstLine="709"/>
        <w:contextualSpacing w:val="0"/>
        <w:jc w:val="center"/>
        <w:rPr>
          <w:b w:val="1"/>
          <w:sz w:val="28"/>
          <w:szCs w:val="28"/>
        </w:rPr>
      </w:pPr>
      <w:r w:rsidDel="00000000" w:rsidR="00000000" w:rsidRPr="00000000">
        <w:rPr>
          <w:b w:val="1"/>
          <w:sz w:val="28"/>
          <w:szCs w:val="28"/>
          <w:rtl w:val="0"/>
        </w:rPr>
        <w:t xml:space="preserve">ДЕПУТАТСЬКЕ ЗВЕРНЕННЯ</w:t>
      </w:r>
    </w:p>
    <w:p w:rsidR="00000000" w:rsidDel="00000000" w:rsidP="00000000" w:rsidRDefault="00000000" w:rsidRPr="00000000" w14:paraId="0000000E">
      <w:pPr>
        <w:spacing w:after="0" w:before="0" w:lineRule="auto"/>
        <w:ind w:firstLine="709"/>
        <w:contextualSpacing w:val="0"/>
        <w:jc w:val="center"/>
        <w:rPr>
          <w:b w:val="1"/>
          <w:sz w:val="28"/>
          <w:szCs w:val="28"/>
        </w:rPr>
      </w:pPr>
      <w:r w:rsidDel="00000000" w:rsidR="00000000" w:rsidRPr="00000000">
        <w:rPr>
          <w:rtl w:val="0"/>
        </w:rPr>
      </w:r>
    </w:p>
    <w:p w:rsidR="00000000" w:rsidDel="00000000" w:rsidP="00000000" w:rsidRDefault="00000000" w:rsidRPr="00000000" w14:paraId="0000000F">
      <w:pPr>
        <w:contextualSpacing w:val="0"/>
        <w:jc w:val="center"/>
        <w:rPr>
          <w:b w:val="1"/>
          <w:i w:val="1"/>
          <w:sz w:val="28"/>
          <w:szCs w:val="28"/>
        </w:rPr>
      </w:pPr>
      <w:r w:rsidDel="00000000" w:rsidR="00000000" w:rsidRPr="00000000">
        <w:rPr>
          <w:b w:val="1"/>
          <w:i w:val="1"/>
          <w:sz w:val="28"/>
          <w:szCs w:val="28"/>
          <w:rtl w:val="0"/>
        </w:rPr>
        <w:t xml:space="preserve">              Шановний Сергію Миколайовичу!</w:t>
      </w:r>
    </w:p>
    <w:p w:rsidR="00000000" w:rsidDel="00000000" w:rsidP="00000000" w:rsidRDefault="00000000" w:rsidRPr="00000000" w14:paraId="00000010">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Вивчивши ситуацію з проведеним аукціоном по закупівлі нагородних годинників додатково та проаналізувавши надану огололошеним "переможцем" – ТОВ «Перший український годинниковий завод «Киівська Русь» ( «ПУГЗ» ) документацію, вважаю позицію тендерного комітету щодо оцінки наданої пропозиціі недостатньо відпрацьованою і помилковою.</w:t>
      </w:r>
    </w:p>
    <w:p w:rsidR="00000000" w:rsidDel="00000000" w:rsidP="00000000" w:rsidRDefault="00000000" w:rsidRPr="00000000" w14:paraId="00000011">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В документаціі, яку надав "переможець", міститься зразок паспорту на годинник. Відповідно до вимог Закону Украіни "Про захист прав споживачі" цей супровідний документ обов'язково має містити в собі інформацію про місцезнаходження виробника товару і сервісного центру, який забезпечує виконання гарантійних зобов'язань. Надані зразки паспортів цієї інформації не містять.</w:t>
      </w:r>
    </w:p>
    <w:p w:rsidR="00000000" w:rsidDel="00000000" w:rsidP="00000000" w:rsidRDefault="00000000" w:rsidRPr="00000000" w14:paraId="00000012">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В той же час "переможець" надав довідку про наявність в місті Київі сервісних центрів за трьома адресами. Враховуючи вищенаведену інформацію з паспортами, я особисто відвідав дві з наданих адреси, зокрема вул. Алма-Атинську 2/1, та Нагірну 10. За вказаними адресами ніяких сервісних центрів з ремонту годинників мені знайти не вдалося. Тобто виходить, що "ПУГЗ" надало в складі тендерної документаціі неправдиву інформацію і фактично це підприємство не забезпечить виконання умов закупівлі про надання 3 років гарантії на годинники через відсутність відповідної інфраструктури.</w:t>
      </w:r>
    </w:p>
    <w:p w:rsidR="00000000" w:rsidDel="00000000" w:rsidP="00000000" w:rsidRDefault="00000000" w:rsidRPr="00000000" w14:paraId="00000013">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Надання учасником закупівлі в складі тендерної документаціі неправдивої інформації відповідно до Закону Украіни «Про публічні закупівлі» є однозначною підставою для відхилення тендерної пропозиціі цього учасника.</w:t>
      </w:r>
    </w:p>
    <w:p w:rsidR="00000000" w:rsidDel="00000000" w:rsidP="00000000" w:rsidRDefault="00000000" w:rsidRPr="00000000" w14:paraId="00000014">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Враховуючи вищенаведене, пропоную тендерному комітету з метою попередження неефективного використання коштів міського бюджету в інтересах сумнівних постачальників, провести неупереджене розслідування наведених мною фактів створивши робочу групу тендерного комітету у складі не менше трьох його членів  із залученням до її роботи мене особисто та інших депутатів Київради. До завершення цього розслідування пропоную утриматись від підписання договору про закупівлю керівництвом Апарату КМДА. </w:t>
      </w:r>
    </w:p>
    <w:p w:rsidR="00000000" w:rsidDel="00000000" w:rsidP="00000000" w:rsidRDefault="00000000" w:rsidRPr="00000000" w14:paraId="0000001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листа додаю фотографії, які підтверджують наведені мною факти відсутності сервісних центрів з ремонту годинників за адресами: вул. Алма-Атинська 2/1 та вул. Нагірна 10.</w:t>
      </w:r>
    </w:p>
    <w:p w:rsidR="00000000" w:rsidDel="00000000" w:rsidP="00000000" w:rsidRDefault="00000000" w:rsidRPr="00000000" w14:paraId="00000016">
      <w:pPr>
        <w:tabs>
          <w:tab w:val="left" w:pos="8505"/>
        </w:tabs>
        <w:ind w:firstLine="113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Буду вдячний за співпрацю та належне реагування.</w:t>
      </w:r>
    </w:p>
    <w:p w:rsidR="00000000" w:rsidDel="00000000" w:rsidP="00000000" w:rsidRDefault="00000000" w:rsidRPr="00000000" w14:paraId="00000017">
      <w:pPr>
        <w:tabs>
          <w:tab w:val="left" w:pos="8505"/>
        </w:tabs>
        <w:ind w:firstLine="1134"/>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результати розгляду депутатського звернення прошу інформувати мене у встановлений законодавством термін за адресою: 01044, м. Київ, вул.    Хрещатик, 36, а також відповідь продублювати на наступну електронну адресу: </w:t>
      </w:r>
      <w:hyperlink r:id="rId6">
        <w:r w:rsidDel="00000000" w:rsidR="00000000" w:rsidRPr="00000000">
          <w:rPr>
            <w:rFonts w:ascii="Times New Roman" w:cs="Times New Roman" w:eastAsia="Times New Roman" w:hAnsi="Times New Roman"/>
            <w:sz w:val="24"/>
            <w:szCs w:val="24"/>
            <w:rtl w:val="0"/>
          </w:rPr>
          <w:t xml:space="preserve">deputat.stryzhov@gmail.com</w:t>
        </w:r>
      </w:hyperlink>
      <w:r w:rsidDel="00000000" w:rsidR="00000000" w:rsidRPr="00000000">
        <w:rPr>
          <w:rtl w:val="0"/>
        </w:rPr>
      </w:r>
    </w:p>
    <w:p w:rsidR="00000000" w:rsidDel="00000000" w:rsidP="00000000" w:rsidRDefault="00000000" w:rsidRPr="00000000" w14:paraId="00000018">
      <w:pPr>
        <w:contextualSpacing w:val="0"/>
        <w:jc w:val="both"/>
        <w:rPr>
          <w:b w:val="1"/>
        </w:rPr>
      </w:pPr>
      <w:r w:rsidDel="00000000" w:rsidR="00000000" w:rsidRPr="00000000">
        <w:rPr>
          <w:rtl w:val="0"/>
        </w:rPr>
      </w:r>
    </w:p>
    <w:p w:rsidR="00000000" w:rsidDel="00000000" w:rsidP="00000000" w:rsidRDefault="00000000" w:rsidRPr="00000000" w14:paraId="00000019">
      <w:pPr>
        <w:ind w:firstLine="851"/>
        <w:contextualSpacing w:val="0"/>
        <w:jc w:val="both"/>
        <w:rPr>
          <w:b w:val="1"/>
        </w:rPr>
      </w:pPr>
      <w:r w:rsidDel="00000000" w:rsidR="00000000" w:rsidRPr="00000000">
        <w:rPr>
          <w:rtl w:val="0"/>
        </w:rPr>
      </w:r>
    </w:p>
    <w:p w:rsidR="00000000" w:rsidDel="00000000" w:rsidP="00000000" w:rsidRDefault="00000000" w:rsidRPr="00000000" w14:paraId="0000001A">
      <w:pPr>
        <w:spacing w:after="0" w:line="240" w:lineRule="auto"/>
        <w:ind w:firstLine="851"/>
        <w:contextualSpacing w:val="0"/>
        <w:jc w:val="both"/>
        <w:rPr>
          <w:b w:val="1"/>
        </w:rPr>
      </w:pPr>
      <w:r w:rsidDel="00000000" w:rsidR="00000000" w:rsidRPr="00000000">
        <w:rPr>
          <w:b w:val="1"/>
          <w:rtl w:val="0"/>
        </w:rPr>
        <w:t xml:space="preserve">З повагою,</w:t>
      </w:r>
    </w:p>
    <w:p w:rsidR="00000000" w:rsidDel="00000000" w:rsidP="00000000" w:rsidRDefault="00000000" w:rsidRPr="00000000" w14:paraId="0000001B">
      <w:pPr>
        <w:spacing w:after="0" w:line="240" w:lineRule="auto"/>
        <w:ind w:firstLine="851"/>
        <w:contextualSpacing w:val="0"/>
        <w:jc w:val="both"/>
        <w:rPr>
          <w:b w:val="1"/>
        </w:rPr>
      </w:pPr>
      <w:r w:rsidDel="00000000" w:rsidR="00000000" w:rsidRPr="00000000">
        <w:rPr>
          <w:b w:val="1"/>
          <w:rtl w:val="0"/>
        </w:rPr>
        <w:t xml:space="preserve">Депутат Київської міської ради</w:t>
      </w:r>
    </w:p>
    <w:p w:rsidR="00000000" w:rsidDel="00000000" w:rsidP="00000000" w:rsidRDefault="00000000" w:rsidRPr="00000000" w14:paraId="0000001C">
      <w:pPr>
        <w:spacing w:after="0" w:line="240" w:lineRule="auto"/>
        <w:ind w:firstLine="851"/>
        <w:contextualSpacing w:val="0"/>
        <w:jc w:val="both"/>
        <w:rPr>
          <w:b w:val="1"/>
        </w:rPr>
      </w:pPr>
      <w:r w:rsidDel="00000000" w:rsidR="00000000" w:rsidRPr="00000000">
        <w:rPr>
          <w:b w:val="1"/>
          <w:rtl w:val="0"/>
        </w:rPr>
        <w:t xml:space="preserve">член депутатської фракції</w:t>
      </w:r>
    </w:p>
    <w:p w:rsidR="00000000" w:rsidDel="00000000" w:rsidP="00000000" w:rsidRDefault="00000000" w:rsidRPr="00000000" w14:paraId="0000001D">
      <w:pPr>
        <w:spacing w:after="0" w:line="240" w:lineRule="auto"/>
        <w:ind w:firstLine="851"/>
        <w:contextualSpacing w:val="0"/>
        <w:jc w:val="both"/>
        <w:rPr>
          <w:b w:val="1"/>
        </w:rPr>
      </w:pPr>
      <w:r w:rsidDel="00000000" w:rsidR="00000000" w:rsidRPr="00000000">
        <w:rPr>
          <w:b w:val="1"/>
          <w:rtl w:val="0"/>
        </w:rPr>
        <w:t xml:space="preserve">«Об’єднання «Самопоміч»</w:t>
      </w:r>
    </w:p>
    <w:p w:rsidR="00000000" w:rsidDel="00000000" w:rsidP="00000000" w:rsidRDefault="00000000" w:rsidRPr="00000000" w14:paraId="0000001E">
      <w:pPr>
        <w:spacing w:after="0" w:line="240" w:lineRule="auto"/>
        <w:ind w:firstLine="851"/>
        <w:contextualSpacing w:val="0"/>
        <w:jc w:val="both"/>
        <w:rPr>
          <w:b w:val="1"/>
        </w:rPr>
      </w:pPr>
      <w:r w:rsidDel="00000000" w:rsidR="00000000" w:rsidRPr="00000000">
        <w:rPr>
          <w:b w:val="1"/>
          <w:rtl w:val="0"/>
        </w:rPr>
        <w:t xml:space="preserve">у Київській міській раді                                                                             Д.С. Стрижов</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1F">
      <w:pPr>
        <w:spacing w:after="160" w:line="259" w:lineRule="auto"/>
        <w:contextualSpacing w:val="0"/>
        <w:rPr/>
      </w:pPr>
      <w:r w:rsidDel="00000000" w:rsidR="00000000" w:rsidRPr="00000000">
        <w:rPr>
          <w:rtl w:val="0"/>
        </w:rPr>
      </w:r>
    </w:p>
    <w:p w:rsidR="00000000" w:rsidDel="00000000" w:rsidP="00000000" w:rsidRDefault="00000000" w:rsidRPr="00000000" w14:paraId="00000020">
      <w:pPr>
        <w:contextualSpacing w:val="0"/>
        <w:rPr>
          <w:rFonts w:ascii="Times New Roman" w:cs="Times New Roman" w:eastAsia="Times New Roman" w:hAnsi="Times New Roman"/>
          <w:sz w:val="24"/>
          <w:szCs w:val="24"/>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eputat.stryzho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