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0</wp:posOffset>
                </wp:positionV>
                <wp:extent cx="6032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158145" y="3844135"/>
                          <a:ext cx="6210300" cy="63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60325">
                          <a:solidFill>
                            <a:srgbClr val="0E267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0</wp:posOffset>
                </wp:positionV>
                <wp:extent cx="603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   р.                                                                             №_______________________</w:t>
      </w:r>
    </w:p>
    <w:p w:rsidR="00000000" w:rsidDel="00000000" w:rsidP="00000000" w:rsidRDefault="00000000" w:rsidRPr="00000000" w14:paraId="0000000A">
      <w:pPr>
        <w:tabs>
          <w:tab w:val="left" w:pos="0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  <w:tab/>
        <w:tab/>
        <w:tab/>
        <w:tab/>
        <w:tab/>
        <w:t xml:space="preserve">              </w:t>
        <w:tab/>
      </w:r>
    </w:p>
    <w:p w:rsidR="00000000" w:rsidDel="00000000" w:rsidP="00000000" w:rsidRDefault="00000000" w:rsidRPr="00000000" w14:paraId="0000000B">
      <w:pPr>
        <w:tabs>
          <w:tab w:val="left" w:pos="0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         </w:t>
      </w:r>
    </w:p>
    <w:p w:rsidR="00000000" w:rsidDel="00000000" w:rsidP="00000000" w:rsidRDefault="00000000" w:rsidRPr="00000000" w14:paraId="0000000C">
      <w:pPr>
        <w:tabs>
          <w:tab w:val="left" w:pos="0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0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          Заступнику голови КМДА</w:t>
      </w:r>
    </w:p>
    <w:p w:rsidR="00000000" w:rsidDel="00000000" w:rsidP="00000000" w:rsidRDefault="00000000" w:rsidRPr="00000000" w14:paraId="0000000E">
      <w:pPr>
        <w:tabs>
          <w:tab w:val="left" w:pos="0"/>
        </w:tabs>
        <w:spacing w:line="360" w:lineRule="auto"/>
        <w:ind w:firstLine="4962"/>
        <w:rPr>
          <w:b w:val="1"/>
        </w:rPr>
      </w:pPr>
      <w:r w:rsidDel="00000000" w:rsidR="00000000" w:rsidRPr="00000000">
        <w:rPr>
          <w:b w:val="1"/>
          <w:rtl w:val="0"/>
        </w:rPr>
        <w:t xml:space="preserve">Непоп В.І. </w:t>
      </w:r>
    </w:p>
    <w:p w:rsidR="00000000" w:rsidDel="00000000" w:rsidP="00000000" w:rsidRDefault="00000000" w:rsidRPr="00000000" w14:paraId="0000000F">
      <w:pPr>
        <w:tabs>
          <w:tab w:val="left" w:pos="5580"/>
        </w:tabs>
        <w:spacing w:line="360" w:lineRule="auto"/>
        <w:ind w:firstLine="4680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1">
      <w:pPr>
        <w:ind w:firstLine="3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Щодо  порушення вимог законодавства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у сфері містобудівної діяльності </w:t>
      </w:r>
    </w:p>
    <w:p w:rsidR="00000000" w:rsidDel="00000000" w:rsidP="00000000" w:rsidRDefault="00000000" w:rsidRPr="00000000" w14:paraId="00000014">
      <w:pPr>
        <w:ind w:firstLine="3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Шановний  Вячеслав Іванович!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ab/>
        <w:t xml:space="preserve">Рішенням Київської міської ради від 10.11.2016р. № 327/1331 було надано статус скверу земельній ділянці площею 1,19 га, розташованій на бул. Чоколівський у Солом’янському районі м. Києва.</w:t>
      </w:r>
    </w:p>
    <w:p w:rsidR="00000000" w:rsidDel="00000000" w:rsidP="00000000" w:rsidRDefault="00000000" w:rsidRPr="00000000" w14:paraId="00000018">
      <w:pPr>
        <w:spacing w:line="360" w:lineRule="auto"/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пленарному засіданні Київради 08.02.2018р. було підтримано проєкт Рішення від 04.05.2017 №08/231-1164/ПР «Про надання дозволу на розроблення проєкту землеустрою щодо відведення земельної ділянки комунальному підприємству по утриманню зелених насаджень Солом’янського району м. Києва на бульв. Чоколівському у Солом’янському районі м. Києва для обслуговування скверу» (К-29328).</w:t>
      </w:r>
    </w:p>
    <w:p w:rsidR="00000000" w:rsidDel="00000000" w:rsidP="00000000" w:rsidRDefault="00000000" w:rsidRPr="00000000" w14:paraId="00000019">
      <w:pPr>
        <w:spacing w:line="360" w:lineRule="auto"/>
        <w:ind w:firstLine="708"/>
        <w:jc w:val="both"/>
        <w:rPr/>
      </w:pPr>
      <w:r w:rsidDel="00000000" w:rsidR="00000000" w:rsidRPr="00000000">
        <w:rPr>
          <w:color w:val="000000"/>
          <w:rtl w:val="0"/>
        </w:rPr>
        <w:t xml:space="preserve">Поруч з майбутнім сквером розташований гаражний кооператив </w:t>
      </w:r>
      <w:r w:rsidDel="00000000" w:rsidR="00000000" w:rsidRPr="00000000">
        <w:rPr>
          <w:rtl w:val="0"/>
        </w:rPr>
        <w:t xml:space="preserve">«Жуляни-1», на території якого побудовано гаражі, другий та третій поверхи яких фактично перебувають на території скверу. За даним  фактом Солом’янським управлінням поліції Головного управління Національної поліції у місті Києві відкрито кримінальне провадження (в ЄРДР №12018100090011846), за ознаками кримінального правопорушення передбаченого                                      ст. 356 КК України.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 xml:space="preserve">Як депутат Київради, я звернувся до Вас з проханням надати доручення Департаменту з питань державного архітектурно-будівельного контролю міста Києва щодо проведення перевірки дотримання вимог законодавства у сфері містобудівної діяльності на території гаражного кооперативу «Жуляни-1» та посприяти у знесенні об’єктів самочинного будівництва на території  зазначеного гаражного кооперативу (депутатське звернення від 15.02.2021р. №08/279/09174-4379). У відповіді на звернення (лист від 26.02.2021р. №004-229) було повідомлено, що за  результатами проведеної перевірки складено відповідний акт від 03.03.2020р. та видано гаражному кооперативу  «Жуляни-1» обов’язковий до виконання припис про усунення порушення вимог законодавства у сфері містобудівної діяльності, будівельних норм, стандартів і правил. Проте станом на поточну дату  </w:t>
      </w:r>
      <w:r w:rsidDel="00000000" w:rsidR="00000000" w:rsidRPr="00000000">
        <w:rPr>
          <w:color w:val="000000"/>
          <w:rtl w:val="0"/>
        </w:rPr>
        <w:t xml:space="preserve">питання знесення незаконно побудованих гаражів на території скверу й досі не вирішене.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0"/>
        </w:tabs>
        <w:spacing w:line="360" w:lineRule="auto"/>
        <w:jc w:val="both"/>
        <w:rPr/>
      </w:pPr>
      <w:r w:rsidDel="00000000" w:rsidR="00000000" w:rsidRPr="00000000">
        <w:rPr>
          <w:color w:val="000000"/>
          <w:rtl w:val="0"/>
        </w:rPr>
        <w:tab/>
        <w:t xml:space="preserve">Враховуючи вищевикладене, керуючись Законом України «Про статус депутатів місцевих рад», </w:t>
      </w:r>
      <w:r w:rsidDel="00000000" w:rsidR="00000000" w:rsidRPr="00000000">
        <w:rPr>
          <w:b w:val="1"/>
          <w:color w:val="000000"/>
          <w:rtl w:val="0"/>
        </w:rPr>
        <w:t xml:space="preserve">прошу Вас </w:t>
      </w:r>
      <w:r w:rsidDel="00000000" w:rsidR="00000000" w:rsidRPr="00000000">
        <w:rPr>
          <w:color w:val="000000"/>
          <w:rtl w:val="0"/>
        </w:rPr>
        <w:t xml:space="preserve">посприяти у вирішенні порушеного питання у межах наданих повноважень.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За результатами розгляду звернення проінформувати мене за адресою приймальні:  03151, м. Київ, вул. Донецька, 7, тел. (044) 338-80-65.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firstLine="708"/>
        <w:jc w:val="both"/>
        <w:rPr/>
      </w:pPr>
      <w:r w:rsidDel="00000000" w:rsidR="00000000" w:rsidRPr="00000000">
        <w:rPr>
          <w:b w:val="1"/>
          <w:rtl w:val="0"/>
        </w:rPr>
        <w:t xml:space="preserve">Додаток:  </w:t>
      </w:r>
      <w:r w:rsidDel="00000000" w:rsidR="00000000" w:rsidRPr="00000000">
        <w:rPr>
          <w:rtl w:val="0"/>
        </w:rPr>
        <w:t xml:space="preserve">-    копія листа №073-2145 на 3 арк.;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депутатського звернення  № 08/279/174-2851 на 1 арк.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листа №073-7068 на 2 арк;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листа №(10-59)1610-19 на 1 арк.;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листа №72-ДП/125/5519 на 1 арк.;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листа №073-7629 на 2 арк.;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листа №073-11410 на 1 арк.;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листа №8-10-0411-435/2-20 на 1 арк.;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акта обстеження земельної ділянки №19-0837-09 на 2 арк.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листа №004-229 на 1 арк.</w:t>
      </w:r>
    </w:p>
    <w:p w:rsidR="00000000" w:rsidDel="00000000" w:rsidP="00000000" w:rsidRDefault="00000000" w:rsidRPr="00000000" w14:paraId="00000027">
      <w:pPr>
        <w:tabs>
          <w:tab w:val="left" w:pos="0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0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0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З повагою                  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Р. В.  Ярошенко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Bookman Old Style"/>
  <w:font w:name="Noto Sans Symbols"/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4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0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