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jc w:val="center"/>
        <w:rPr>
          <w:color w:val="111111"/>
        </w:rPr>
      </w:pPr>
      <w:r w:rsidDel="00000000" w:rsidR="00000000" w:rsidRPr="00000000">
        <w:rPr>
          <w:b w:val="1"/>
          <w:color w:val="111111"/>
          <w:highlight w:val="white"/>
          <w:rtl w:val="0"/>
        </w:rPr>
        <w:t xml:space="preserve">Мероприятия городской целевой программы “Защитник Киева” на 2022-2024 годы по усовершенствованию и повышению эффективности организации и функционирования систем территориальной обороны Киева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111111"/>
          <w:rtl w:val="0"/>
        </w:rPr>
        <w:t xml:space="preserve">22,1 млн гривен – на оборудование учебно-материальной базы по подготовке бригады Сил территориальной обороны Киева;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111111"/>
          <w:rtl w:val="0"/>
        </w:rPr>
        <w:t xml:space="preserve">21,05 млн гривен – на капремонт учебно-материальной базы по подготовке бригады Сил территориальной обороны Киева;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111111"/>
          <w:rtl w:val="0"/>
        </w:rPr>
        <w:t xml:space="preserve">5,93 млн гривен – на аренду стрельбищ и тиров;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111111"/>
          <w:rtl w:val="0"/>
        </w:rPr>
        <w:t xml:space="preserve">3,42 млн гривен – на обустройство объекта для размещения бригады Сил территориальной обороны Киева и учебно-материальной базы для подготовки Сил территориальной обороны Киева;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1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111111"/>
          <w:rtl w:val="0"/>
        </w:rPr>
        <w:t xml:space="preserve">328,32 тыс. гривен – на проведение информационно-коммуникационной кампании по территориальной обороне Киева и изготовление полиграфической продукции.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1111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