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left="52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Київському міському голові</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24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КЛИЧКУ</w:t>
      </w:r>
    </w:p>
    <w:p w:rsidR="00000000" w:rsidDel="00000000" w:rsidP="00000000" w:rsidRDefault="00000000" w:rsidRPr="00000000" w14:paraId="00000009">
      <w:pPr>
        <w:widowControl w:val="1"/>
        <w:spacing w:line="276" w:lineRule="auto"/>
        <w:ind w:left="524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відсутності зовнішнього освітлення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території скверу ім. І. Гонти</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Віталію Володимировичу!</w:t>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неодноразово звертаються мешканці Шевченківського району м. Києва з заявами щодо відсутності зовнішнього освітлення на території скверу ім. І. Гонти, який знаходиться на перехресті вулиць І. Гонти та О. Теліги у Шевченківському районі м. Києва. </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після нещодавно проведеної реконструкції скверу зовнішнє освітлення на даній території повністю відсутнє. Відсутність освітлення на території скверу ім. І.Гонти створює небезпеку для дітей та дорослих, які відпочивають на території зеленої зони, а також позбавляє мешканців можливості безперешкодного користування сквером у вечірній час доби в осінній та зимовий період.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Відповідно до інформації, наданої КП УЗН Шевченківського району м. Києва від 09.11.2021р. №077/236-1524  у відповідь на моє депутатське звернення, </w:t>
      </w:r>
      <w:r w:rsidDel="00000000" w:rsidR="00000000" w:rsidRPr="00000000">
        <w:rPr>
          <w:rFonts w:ascii="Times New Roman" w:cs="Times New Roman" w:eastAsia="Times New Roman" w:hAnsi="Times New Roman"/>
          <w:i w:val="1"/>
          <w:sz w:val="28"/>
          <w:szCs w:val="28"/>
          <w:rtl w:val="0"/>
        </w:rPr>
        <w:t xml:space="preserve">роботи з влаштування системи зовнішнього освітлення у сквері на вул. І. Гонти потребують залучення значних капіталовкладень та можуть бути виконані під час капітального ремонту скверу. </w:t>
      </w:r>
      <w:r w:rsidDel="00000000" w:rsidR="00000000" w:rsidRPr="00000000">
        <w:rPr>
          <w:rtl w:val="0"/>
        </w:rPr>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належних умов проживання та відпочинку громадян, а також з метою запобігання виникненню небезпечних ситуацій,</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враховуючи важливість та актуальність порушеного питання, керуючись ч. 4 ст. 12, ст. ст. 13, 14, 15, 17 Закону України «Про статус депутатів місцевих рад», прошу Вас передбачити у межах бюджетних призначень на капітальний ремонт об’єктів благоустрою зеленого господарства на 2022 рік кошти на розроблення проектної документації і влаштування у сквері на вул. І.Гонти зовнішнього освітлення. </w:t>
      </w:r>
    </w:p>
    <w:p w:rsidR="00000000" w:rsidDel="00000000" w:rsidP="00000000" w:rsidRDefault="00000000" w:rsidRPr="00000000" w14:paraId="00000015">
      <w:pPr>
        <w:widowControl w:val="1"/>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Крім того, прошу Вас надати інформацію щодо причин, з яких облаштування зовнішнього освітлення на території скверу ім. І.Гонти не увійшло в  затверджений проект реконструкції скверу, реалізований в 2020 році. </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громадянці О. Галишиній на електронну адресу: </w:t>
      </w:r>
      <w:hyperlink r:id="rId8">
        <w:r w:rsidDel="00000000" w:rsidR="00000000" w:rsidRPr="00000000">
          <w:rPr>
            <w:rFonts w:ascii="Times New Roman" w:cs="Times New Roman" w:eastAsia="Times New Roman" w:hAnsi="Times New Roman"/>
            <w:color w:val="0000ff"/>
            <w:sz w:val="28"/>
            <w:szCs w:val="28"/>
            <w:u w:val="single"/>
            <w:rtl w:val="0"/>
          </w:rPr>
          <w:t xml:space="preserve">lena.halyshina@gmail.com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 КП УЗН Шевченківського району м. Києва від 09.11.2021р. №077/236-1524 в 1 прим.</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p w:rsidR="00000000" w:rsidDel="00000000" w:rsidP="00000000" w:rsidRDefault="00000000" w:rsidRPr="00000000" w14:paraId="0000001E">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F">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24">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lena.halysh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