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30658" cy="8667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0658"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2457"/>
        <w:rPr/>
      </w:pPr>
      <w:r w:rsidDel="00000000" w:rsidR="00000000" w:rsidRPr="00000000">
        <w:rPr>
          <w:color w:val="be8f00"/>
          <w:rtl w:val="0"/>
        </w:rPr>
        <w:t xml:space="preserve">ДЕПУТАТ</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578" w:right="250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be8f00"/>
          <w:sz w:val="28"/>
          <w:szCs w:val="28"/>
          <w:u w:val="none"/>
          <w:shd w:fill="auto" w:val="clear"/>
          <w:vertAlign w:val="baseline"/>
          <w:rtl w:val="0"/>
        </w:rPr>
        <w:t xml:space="preserve">КИЇВСЬКОЇ МІСЬКОЇ РАДИ IX СКЛИКАННЯ</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6220460" cy="76835"/>
                <wp:effectExtent b="0" l="0" r="0" t="0"/>
                <wp:wrapTopAndBottom distB="0" distT="0"/>
                <wp:docPr id="1" name=""/>
                <a:graphic>
                  <a:graphicData uri="http://schemas.microsoft.com/office/word/2010/wordprocessingShape">
                    <wps:wsp>
                      <wps:cNvSpPr/>
                      <wps:cNvPr id="2" name="Shape 2"/>
                      <wps:spPr>
                        <a:xfrm>
                          <a:off x="2240533" y="3746345"/>
                          <a:ext cx="6210935" cy="67310"/>
                        </a:xfrm>
                        <a:custGeom>
                          <a:rect b="b" l="l" r="r" t="t"/>
                          <a:pathLst>
                            <a:path extrusionOk="0" h="106" w="9781">
                              <a:moveTo>
                                <a:pt x="0" y="0"/>
                              </a:moveTo>
                              <a:lnTo>
                                <a:pt x="0" y="19"/>
                              </a:lnTo>
                              <a:lnTo>
                                <a:pt x="9780" y="29"/>
                              </a:lnTo>
                              <a:lnTo>
                                <a:pt x="9780" y="10"/>
                              </a:lnTo>
                              <a:lnTo>
                                <a:pt x="0" y="0"/>
                              </a:lnTo>
                              <a:close/>
                              <a:moveTo>
                                <a:pt x="0" y="38"/>
                              </a:moveTo>
                              <a:lnTo>
                                <a:pt x="0" y="96"/>
                              </a:lnTo>
                              <a:lnTo>
                                <a:pt x="9780" y="106"/>
                              </a:lnTo>
                              <a:lnTo>
                                <a:pt x="9780" y="48"/>
                              </a:lnTo>
                              <a:lnTo>
                                <a:pt x="0" y="38"/>
                              </a:lnTo>
                              <a:close/>
                            </a:path>
                          </a:pathLst>
                        </a:custGeom>
                        <a:solidFill>
                          <a:srgbClr val="0D257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241300</wp:posOffset>
                </wp:positionV>
                <wp:extent cx="6220460" cy="768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20460" cy="76835"/>
                        </a:xfrm>
                        <a:prstGeom prst="rect"/>
                        <a:ln/>
                      </pic:spPr>
                    </pic:pic>
                  </a:graphicData>
                </a:graphic>
              </wp:anchor>
            </w:drawing>
          </mc:Fallback>
        </mc:AlternateContent>
      </w:r>
    </w:p>
    <w:p w:rsidR="00000000" w:rsidDel="00000000" w:rsidP="00000000" w:rsidRDefault="00000000" w:rsidRPr="00000000" w14:paraId="00000005">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u w:val="single"/>
          <w:rtl w:val="0"/>
        </w:rPr>
        <w:t xml:space="preserve">  26</w:t>
        <w:tab/>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u w:val="single"/>
          <w:rtl w:val="0"/>
        </w:rPr>
        <w:t xml:space="preserve">     липня</w:t>
        <w:tab/>
      </w:r>
      <w:r w:rsidDel="00000000" w:rsidR="00000000" w:rsidRPr="00000000">
        <w:rPr>
          <w:rFonts w:ascii="Times New Roman" w:cs="Times New Roman" w:eastAsia="Times New Roman" w:hAnsi="Times New Roman"/>
          <w:sz w:val="28"/>
          <w:szCs w:val="28"/>
          <w:rtl w:val="0"/>
        </w:rPr>
        <w:t xml:space="preserve">2021 р.</w:t>
        <w:tab/>
        <w:t xml:space="preserve">№</w:t>
      </w:r>
      <w:r w:rsidDel="00000000" w:rsidR="00000000" w:rsidRPr="00000000">
        <w:rPr>
          <w:rFonts w:ascii="Times New Roman" w:cs="Times New Roman" w:eastAsia="Times New Roman" w:hAnsi="Times New Roman"/>
          <w:sz w:val="28"/>
          <w:szCs w:val="28"/>
          <w:u w:val="single"/>
          <w:rtl w:val="0"/>
        </w:rPr>
        <w:t xml:space="preserve"> 08/279/09/248-998</w:t>
        <w:tab/>
      </w:r>
    </w:p>
    <w:p w:rsidR="00000000" w:rsidDel="00000000" w:rsidP="00000000" w:rsidRDefault="00000000" w:rsidRPr="00000000" w14:paraId="00000007">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0"/>
          <w:szCs w:val="20"/>
          <w:u w:val="single"/>
        </w:rPr>
      </w:pPr>
      <w:r w:rsidDel="00000000" w:rsidR="00000000" w:rsidRPr="00000000">
        <w:rPr>
          <w:rtl w:val="0"/>
        </w:rPr>
      </w:r>
    </w:p>
    <w:tbl>
      <w:tblPr>
        <w:tblStyle w:val="Table1"/>
        <w:tblW w:w="4961.0" w:type="dxa"/>
        <w:jc w:val="left"/>
        <w:tblInd w:w="5245.0" w:type="dxa"/>
        <w:tblLayout w:type="fixed"/>
        <w:tblLook w:val="0000"/>
      </w:tblPr>
      <w:tblGrid>
        <w:gridCol w:w="4961"/>
        <w:tblGridChange w:id="0">
          <w:tblGrid>
            <w:gridCol w:w="4961"/>
          </w:tblGrid>
        </w:tblGridChange>
      </w:tblGrid>
      <w:tr>
        <w:trPr>
          <w:cantSplit w:val="0"/>
          <w:trHeight w:val="692" w:hRule="atLeast"/>
          <w:tblHeader w:val="0"/>
        </w:trPr>
        <w:tc>
          <w:tcPr>
            <w:shd w:fill="auto" w:val="clear"/>
          </w:tcPr>
          <w:p w:rsidR="00000000" w:rsidDel="00000000" w:rsidP="00000000" w:rsidRDefault="00000000" w:rsidRPr="00000000" w14:paraId="0000000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Голові Виконавчого органу Київської міської ради (Київської міської державної адміністрації) </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Кличку Віталію Володимировичу</w:t>
            </w:r>
          </w:p>
          <w:p w:rsidR="00000000" w:rsidDel="00000000" w:rsidP="00000000" w:rsidRDefault="00000000" w:rsidRPr="00000000" w14:paraId="0000000A">
            <w:pPr>
              <w:spacing w:line="276" w:lineRule="auto"/>
              <w:ind w:left="-94"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76" w:lineRule="auto"/>
              <w:ind w:left="-9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Першому заступнику голови </w:t>
            </w:r>
          </w:p>
          <w:p w:rsidR="00000000" w:rsidDel="00000000" w:rsidP="00000000" w:rsidRDefault="00000000" w:rsidRPr="00000000" w14:paraId="0000000C">
            <w:pPr>
              <w:spacing w:line="276" w:lineRule="auto"/>
              <w:ind w:left="-9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Київської міської державної адміністрації</w:t>
            </w:r>
          </w:p>
          <w:p w:rsidR="00000000" w:rsidDel="00000000" w:rsidP="00000000" w:rsidRDefault="00000000" w:rsidRPr="00000000" w14:paraId="0000000D">
            <w:pPr>
              <w:spacing w:line="276" w:lineRule="auto"/>
              <w:ind w:left="-9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Поворознику Миколі Юрійовичу     </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ДЕПУТАТСЬКЕ ЗВЕРНЕННЯ</w:t>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щодо виділення необхідного фінансування </w:t>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утримання скверів Дніпровського району міста Києва</w:t>
      </w:r>
    </w:p>
    <w:p w:rsidR="00000000" w:rsidDel="00000000" w:rsidP="00000000" w:rsidRDefault="00000000" w:rsidRPr="00000000" w14:paraId="00000014">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w:t>
      </w:r>
      <w:r w:rsidDel="00000000" w:rsidR="00000000" w:rsidRPr="00000000">
        <w:rPr>
          <w:rFonts w:ascii="Times New Roman" w:cs="Times New Roman" w:eastAsia="Times New Roman" w:hAnsi="Times New Roman"/>
          <w:b w:val="1"/>
          <w:sz w:val="28"/>
          <w:szCs w:val="28"/>
          <w:highlight w:val="white"/>
          <w:rtl w:val="0"/>
        </w:rPr>
        <w:t xml:space="preserve">Віталію Володимировичу</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Миколо Юрійовичу!</w:t>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представник територіальної громади міста Києва, відповідно до статті 13 Закону України «Про статус депутатів місцевих рад» направляю Вам депутатське звернення.</w:t>
      </w:r>
    </w:p>
    <w:p w:rsidR="00000000" w:rsidDel="00000000" w:rsidP="00000000" w:rsidRDefault="00000000" w:rsidRPr="00000000" w14:paraId="0000001A">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початок 2021 року на балансі КП УЗН Дніпровського району перебувають зелені насадження на ділянках загальною площею 964,9 га, які закріплені за підприємством згідно Наказу Департаменту комунальної власності м. Києва. З метою їх обслуговування, озеленення, догляду та благоустрою підприємству на 2021 рік доведено бюджетного фінансування у сумі 85 131,9 тис. грн. Нормативна потреба складає 183 361,8 тис. грн..</w:t>
      </w:r>
    </w:p>
    <w:p w:rsidR="00000000" w:rsidDel="00000000" w:rsidP="00000000" w:rsidRDefault="00000000" w:rsidRPr="00000000" w14:paraId="0000001B">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період з 2015 року по 2021 рік відповідно до рішень Київської міської ради на території Дніпровського району 89 об’єктам земельних ділянок, загальною площею 79,85 га, було надано статус парків/скверів, на 28 об’єктах з яких, загальною площею 27,93 га, були проведені капітальні роботи.</w:t>
      </w:r>
    </w:p>
    <w:p w:rsidR="00000000" w:rsidDel="00000000" w:rsidP="00000000" w:rsidRDefault="00000000" w:rsidRPr="00000000" w14:paraId="0000001C">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те, що на виконання робіт з капітального ремонту та приведення зазначених об’єктів до належного санітарно стану були виділені кошти з міського бюджету, існує гостра необхідність в подальшому їх догляді та утриманні.</w:t>
      </w:r>
    </w:p>
    <w:p w:rsidR="00000000" w:rsidDel="00000000" w:rsidP="00000000" w:rsidRDefault="00000000" w:rsidRPr="00000000" w14:paraId="0000001D">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КП УЗН отримує постійні прохання та доручення утримувати території, яким надано статус парків/скверів. Але території не передані на баланс підприємству. Кошти на їх утримання підприємству не виділяються.</w:t>
      </w:r>
    </w:p>
    <w:p w:rsidR="00000000" w:rsidDel="00000000" w:rsidP="00000000" w:rsidRDefault="00000000" w:rsidRPr="00000000" w14:paraId="0000001E">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згідно окремого доручення першого заступника голови Київської міської державної адміністрації з питань здійснення самоврядних повноважень Кулеби О.В. щодо закріплення безбалансових територій за комунальними підприємствами, відповідно до Розпорядження Дніпровської райдержадміністрації від 24.09.2020 №613 «Про деякі питання утримання території Дніпровського району міста Києва» (зі змінами, внесеними розпорядженням Дніпровської райдержадміністрації від 12.11.2020 №696) за КП УЗН Дніпровського району закріплено землі запасу міста у кількості – 62,73 га.</w:t>
      </w:r>
    </w:p>
    <w:p w:rsidR="00000000" w:rsidDel="00000000" w:rsidP="00000000" w:rsidRDefault="00000000" w:rsidRPr="00000000" w14:paraId="0000001F">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численні звернення та листи підприємства щодо виділення додаткового фінансування на утримання додаткової території, з детальним обґрунтуванням потреби, підприємство отримую відмову.</w:t>
      </w:r>
    </w:p>
    <w:p w:rsidR="00000000" w:rsidDel="00000000" w:rsidP="00000000" w:rsidRDefault="00000000" w:rsidRPr="00000000" w14:paraId="00000020">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вище викладене, КП УЗН Дніпровського району отримує доручення утримувати та обслуговувати земельні ділянки додатковою площею в 142,58 га, не маючи на це фінансування.</w:t>
      </w:r>
    </w:p>
    <w:p w:rsidR="00000000" w:rsidDel="00000000" w:rsidP="00000000" w:rsidRDefault="00000000" w:rsidRPr="00000000" w14:paraId="00000021">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важливість вище викладеного, прошу розглянути можливість додаткового фінансування КП УЗН Дніпровського району міста Києва у розмірі 6 млн. грн. до кінця 2021 року.</w:t>
      </w:r>
    </w:p>
    <w:p w:rsidR="00000000" w:rsidDel="00000000" w:rsidP="00000000" w:rsidRDefault="00000000" w:rsidRPr="00000000" w14:paraId="00000022">
      <w:pPr>
        <w:spacing w:line="276"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Про результати розгляду депутатського звернення прошу повідомити мене у відповідності до вимог Закону України «Про статус депутатів місцевих рад» порядку на адресу моєї громадської приймальні: 02090, вул. Харківське шосе, 11.</w:t>
      </w:r>
    </w:p>
    <w:p w:rsidR="00000000" w:rsidDel="00000000" w:rsidP="00000000" w:rsidRDefault="00000000" w:rsidRPr="00000000" w14:paraId="00000023">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 повагою,</w:t>
        <w:br w:type="textWrapping"/>
        <w:t xml:space="preserve">депутат Київської міської ради                                           Ярослав ФЕДОРЕНКО</w:t>
      </w:r>
    </w:p>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Вик. Кушнарьова Анна</w:t>
      </w:r>
    </w:p>
    <w:p w:rsidR="00000000" w:rsidDel="00000000" w:rsidP="00000000" w:rsidRDefault="00000000" w:rsidRPr="00000000" w14:paraId="0000002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(098) 448-80-19</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sectPr>
      <w:pgSz w:h="16840" w:w="11910" w:orient="portrait"/>
      <w:pgMar w:bottom="993"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3" w:lineRule="auto"/>
      <w:ind w:left="2457" w:right="2508"/>
      <w:jc w:val="center"/>
    </w:pPr>
    <w:rPr>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