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160" w:lineRule="auto"/>
        <w:rPr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b w:val="1"/>
          <w:color w:val="111111"/>
          <w:sz w:val="28"/>
          <w:szCs w:val="28"/>
          <w:highlight w:val="white"/>
          <w:rtl w:val="0"/>
        </w:rPr>
        <w:t xml:space="preserve">Законодательные инициативы Гетманцева: успехи и поражения:</w:t>
      </w:r>
    </w:p>
    <w:p w:rsidR="00000000" w:rsidDel="00000000" w:rsidP="00000000" w:rsidRDefault="00000000" w:rsidRPr="00000000" w14:paraId="00000002">
      <w:pPr>
        <w:spacing w:after="160" w:before="160" w:lineRule="auto"/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20 сентября 2019 года Верховная Рада (ВР) </w:t>
      </w:r>
      <w:hyperlink r:id="rId6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приняла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во втором чтении (в целом) законопроект </w:t>
      </w:r>
      <w:hyperlink r:id="rId7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№1073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“О внесении изменений в Налоговый кодекс Украины относительно детенизации расчетов в сфере торговли и услуг”, инициированный группой во главе с Гетманцевым. “За” проголосовали 237 нардепов. Закон призван вывести из тени расчеты в сфере торговли и услуг в случаях, когда большие торговые предприятия используют малые для проведения через них кассовых операций, минимизируя налоги.</w:t>
      </w:r>
    </w:p>
    <w:p w:rsidR="00000000" w:rsidDel="00000000" w:rsidP="00000000" w:rsidRDefault="00000000" w:rsidRPr="00000000" w14:paraId="00000003">
      <w:pPr>
        <w:spacing w:after="160" w:before="160" w:lineRule="auto"/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3 октября 2019 года большой резонанс, особенно в среде IT-предпринимателей, </w:t>
      </w:r>
      <w:hyperlink r:id="rId8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вызвало интервью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Гетманцева, в котором он заявил, что для борьбы с уклонением от уплаты налогов, в частности, при выплате зарплат, парламентарии могут запретить физлицам-предпринимателям (ФЛП), находящимся на третьей группе налогообложения, оказывать услуги. Соответственно, у них останется возможность только торговать или заниматься производством.</w:t>
      </w:r>
    </w:p>
    <w:p w:rsidR="00000000" w:rsidDel="00000000" w:rsidP="00000000" w:rsidRDefault="00000000" w:rsidRPr="00000000" w14:paraId="00000004">
      <w:pPr>
        <w:spacing w:after="160" w:before="160" w:lineRule="auto"/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Озабоченность предпринимателей была столь велика, что в этот же день </w:t>
      </w:r>
      <w:hyperlink r:id="rId9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 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на своей странице в соцсети Facebook странице глава финансового комитета ВР </w:t>
      </w:r>
      <w:hyperlink r:id="rId10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поспешил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сообщить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, что его слова неправильно поняли и вырвали из контекста. Якобы  речь шла об увеличении лимита для третьей группы плательщиков, но существует проблема – эта группа ФЛП используется большим бизнесом “для ухода от НДФЛ и ЕСВ”.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 января 2020 года </w:t>
      </w: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ВР </w:t>
      </w:r>
      <w:hyperlink r:id="rId12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приняла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во втором чтении </w:t>
      </w:r>
      <w:hyperlink r:id="rId13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революционный законопроект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 </w:t>
      </w:r>
      <w:hyperlink r:id="rId14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№1210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с поправками в Налоговый кодекс о повышении лимитов для ФЛП I – III групп и введение плана действий BEPS по противодействию уклонению от уплаты налогообложения прибыли контролируемых иностранных компаний, что сведет на нет “оффшорные” схемы.  Кроме этого, много изменений в трансфертном ценообразовании, в проверках предприятий контролерами, в повышении штрафов и рентных ставок.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before="200" w:lineRule="auto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12 сентября 2019 ВР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был принят</w:t>
        </w:r>
      </w:hyperlink>
      <w:r w:rsidDel="00000000" w:rsidR="00000000" w:rsidRPr="00000000">
        <w:rPr>
          <w:color w:val="111111"/>
          <w:sz w:val="24"/>
          <w:szCs w:val="24"/>
          <w:rtl w:val="0"/>
        </w:rPr>
        <w:t xml:space="preserve"> закон </w:t>
      </w:r>
      <w:hyperlink r:id="rId16">
        <w:r w:rsidDel="00000000" w:rsidR="00000000" w:rsidRPr="00000000">
          <w:rPr>
            <w:color w:val="bf1e2e"/>
            <w:sz w:val="24"/>
            <w:szCs w:val="24"/>
            <w:rtl w:val="0"/>
          </w:rPr>
          <w:t xml:space="preserve">№79-IX</w:t>
        </w:r>
      </w:hyperlink>
      <w:r w:rsidDel="00000000" w:rsidR="00000000" w:rsidRPr="00000000">
        <w:rPr>
          <w:color w:val="111111"/>
          <w:sz w:val="24"/>
          <w:szCs w:val="24"/>
          <w:rtl w:val="0"/>
        </w:rPr>
        <w:t xml:space="preserve"> “О внесении изменений в некоторые законодательные акты Украины относительно усовершенствования функций по государственному регулированию рынков финансовых услуг” (авторы законопроекта – председатель комитета ВР по вопросам финансов, налоговой и таможенной политики Данил Гетманцев и нардеп-мажоритарщик по 94 округу Киевщины </w:t>
      </w:r>
      <w:hyperlink r:id="rId17">
        <w:r w:rsidDel="00000000" w:rsidR="00000000" w:rsidRPr="00000000">
          <w:rPr>
            <w:color w:val="bf1e2e"/>
            <w:sz w:val="24"/>
            <w:szCs w:val="24"/>
            <w:rtl w:val="0"/>
          </w:rPr>
          <w:t xml:space="preserve">Александр Дубинский</w:t>
        </w:r>
      </w:hyperlink>
      <w:r w:rsidDel="00000000" w:rsidR="00000000" w:rsidRPr="00000000">
        <w:rPr>
          <w:color w:val="111111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Закон сокращает количество регуляторных и контролирующих органов на рынках небанковских финансовых услуг, в частности упраздняет Национальную комиссию по регулированию рынков финансовых 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 мая 2020 года в ходе </w:t>
      </w:r>
      <w:hyperlink r:id="rId18">
        <w:r w:rsidDel="00000000" w:rsidR="00000000" w:rsidRPr="00000000">
          <w:rPr>
            <w:color w:val="bf1e2e"/>
            <w:sz w:val="24"/>
            <w:szCs w:val="24"/>
            <w:rtl w:val="0"/>
          </w:rPr>
          <w:t xml:space="preserve">инициированного</w:t>
        </w:r>
      </w:hyperlink>
      <w:r w:rsidDel="00000000" w:rsidR="00000000" w:rsidRPr="00000000">
        <w:rPr>
          <w:color w:val="111111"/>
          <w:sz w:val="24"/>
          <w:szCs w:val="24"/>
          <w:rtl w:val="0"/>
        </w:rPr>
        <w:t xml:space="preserve"> народными депутатами внеочередного пленарного заседания </w:t>
      </w:r>
      <w:r w:rsidDel="00000000" w:rsidR="00000000" w:rsidRPr="00000000">
        <w:rPr>
          <w:sz w:val="24"/>
          <w:szCs w:val="24"/>
          <w:rtl w:val="0"/>
        </w:rPr>
        <w:t xml:space="preserve">ВР </w:t>
      </w: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отменила</w:t>
        </w:r>
      </w:hyperlink>
      <w:r w:rsidDel="00000000" w:rsidR="00000000" w:rsidRPr="00000000">
        <w:rPr>
          <w:sz w:val="24"/>
          <w:szCs w:val="24"/>
          <w:rtl w:val="0"/>
        </w:rPr>
        <w:t xml:space="preserve"> обязанность ФЛП уплачивать минимальный размер ЕСВ в случае простоя и отсутствия доходов. Кроме этого, льготы по уплате ЕСВ были распространены на пенсионеров, которые осуществляют независимую профессиональную деятельность. Один из авторов законопроекта - Данил Гетманцев.</w:t>
      </w:r>
    </w:p>
    <w:p w:rsidR="00000000" w:rsidDel="00000000" w:rsidP="00000000" w:rsidRDefault="00000000" w:rsidRPr="00000000" w14:paraId="00000009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этот же день </w:t>
      </w:r>
      <w:r w:rsidDel="00000000" w:rsidR="00000000" w:rsidRPr="00000000">
        <w:rPr>
          <w:color w:val="111111"/>
          <w:sz w:val="24"/>
          <w:szCs w:val="24"/>
          <w:rtl w:val="0"/>
        </w:rPr>
        <w:t xml:space="preserve">ВР </w:t>
      </w: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проголосовала</w:t>
        </w:r>
      </w:hyperlink>
      <w:r w:rsidDel="00000000" w:rsidR="00000000" w:rsidRPr="00000000">
        <w:rPr>
          <w:color w:val="111111"/>
          <w:sz w:val="24"/>
          <w:szCs w:val="24"/>
          <w:rtl w:val="0"/>
        </w:rPr>
        <w:t xml:space="preserve"> за то, чтобы до окончания в стране карантинных мер бизнес не беспокоили проверками и не штрафовали за налоговые нарушения. Кроме того, Рада уменьшила требования к банковскому сектору касательно уставных капиталов на тот же время. Сами же сроки действия послаблений в принятом Радой законе привязаны к соответствующим постановлениям правительства. </w:t>
      </w:r>
      <w:r w:rsidDel="00000000" w:rsidR="00000000" w:rsidRPr="00000000">
        <w:rPr>
          <w:sz w:val="24"/>
          <w:szCs w:val="24"/>
          <w:rtl w:val="0"/>
        </w:rPr>
        <w:t xml:space="preserve">Один из авторов законопроекта - Даниил Гетманцев.</w:t>
      </w:r>
    </w:p>
    <w:p w:rsidR="00000000" w:rsidDel="00000000" w:rsidP="00000000" w:rsidRDefault="00000000" w:rsidRPr="00000000" w14:paraId="0000000A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 июня 2020 года </w:t>
      </w:r>
      <w:r w:rsidDel="00000000" w:rsidR="00000000" w:rsidRPr="00000000">
        <w:rPr>
          <w:color w:val="111111"/>
          <w:sz w:val="24"/>
          <w:szCs w:val="24"/>
          <w:rtl w:val="0"/>
        </w:rPr>
        <w:t xml:space="preserve">ВР </w:t>
      </w: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приняла во втором чтении</w:t>
        </w:r>
      </w:hyperlink>
      <w:r w:rsidDel="00000000" w:rsidR="00000000" w:rsidRPr="00000000">
        <w:rPr>
          <w:color w:val="111111"/>
          <w:sz w:val="24"/>
          <w:szCs w:val="24"/>
          <w:rtl w:val="0"/>
        </w:rPr>
        <w:t xml:space="preserve"> законопроект </w:t>
      </w:r>
      <w:hyperlink r:id="rId22">
        <w:r w:rsidDel="00000000" w:rsidR="00000000" w:rsidRPr="00000000">
          <w:rPr>
            <w:color w:val="bf1e2e"/>
            <w:sz w:val="24"/>
            <w:szCs w:val="24"/>
            <w:rtl w:val="0"/>
          </w:rPr>
          <w:t xml:space="preserve">№3297</w:t>
        </w:r>
      </w:hyperlink>
      <w:r w:rsidDel="00000000" w:rsidR="00000000" w:rsidRPr="00000000">
        <w:rPr>
          <w:color w:val="111111"/>
          <w:sz w:val="24"/>
          <w:szCs w:val="24"/>
          <w:rtl w:val="0"/>
        </w:rPr>
        <w:t xml:space="preserve"> о недопущении начисления штрафных санкций и пени за ​​просрочку платежей по кредитам в период действия карантина на всех субъектов хозяйствования. </w:t>
      </w: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Председатель комитета ВР по вопросам финансов, налоговой и таможенной политики Данил Гетманцев не был в составе авторов проекта закона, но в комментарии журналистам отметил - отменой штрафных санкций по кредитам не довольны в банковском сообществе, что “понятно”, однако нардепы решили пойти навстречу бизнесу.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11111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 июня 2020 года </w:t>
      </w:r>
      <w:r w:rsidDel="00000000" w:rsidR="00000000" w:rsidRPr="00000000">
        <w:rPr>
          <w:color w:val="111111"/>
          <w:sz w:val="24"/>
          <w:szCs w:val="24"/>
          <w:rtl w:val="0"/>
        </w:rPr>
        <w:t xml:space="preserve">в ВР был </w:t>
      </w: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зарегистрирован</w:t>
        </w:r>
      </w:hyperlink>
      <w:r w:rsidDel="00000000" w:rsidR="00000000" w:rsidRPr="00000000">
        <w:rPr>
          <w:color w:val="111111"/>
          <w:sz w:val="24"/>
          <w:szCs w:val="24"/>
          <w:rtl w:val="0"/>
        </w:rPr>
        <w:t xml:space="preserve"> законопроект </w:t>
      </w:r>
      <w:hyperlink r:id="rId24">
        <w:r w:rsidDel="00000000" w:rsidR="00000000" w:rsidRPr="00000000">
          <w:rPr>
            <w:color w:val="bf1e2e"/>
            <w:sz w:val="24"/>
            <w:szCs w:val="24"/>
            <w:rtl w:val="0"/>
          </w:rPr>
          <w:t xml:space="preserve">№3686</w:t>
        </w:r>
      </w:hyperlink>
      <w:r w:rsidDel="00000000" w:rsidR="00000000" w:rsidRPr="00000000">
        <w:rPr>
          <w:color w:val="111111"/>
          <w:sz w:val="24"/>
          <w:szCs w:val="24"/>
          <w:rtl w:val="0"/>
        </w:rPr>
        <w:t xml:space="preserve">, по которому сумма денежного перевода, не требующая идентификации личности, увеличивался впятеро (сейчас - 5 тыс. гривен). Авторами законопроекта стала часть нардепов из фракции “монобольшинства”, которое сами ранее и урезали лимит анонимных переводов. По состоянию на 27 ноября 2020 года законопроект не вышел из комитета ВР по вопросам финансов, налоговой и таможенной политики.</w:t>
      </w:r>
    </w:p>
    <w:p w:rsidR="00000000" w:rsidDel="00000000" w:rsidP="00000000" w:rsidRDefault="00000000" w:rsidRPr="00000000" w14:paraId="0000000D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Напомним, 28 апреля 2020 года вступили в силу изменения в </w:t>
      </w:r>
      <w:hyperlink r:id="rId25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закон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“О предотвращении и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уничтожения”, согласно которым максимальный размер наличных переводов был уменьшен с 15 000 до 5 000 гривен, что создало значительные неудобства для простых граждан.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kievvlast.com.ua/news/rada-prodlila-nalogovye-poslableniya-dlya-biznesa-privyazav-ih-srok-k-srokam-karantina?noredirect=true" TargetMode="External"/><Relationship Id="rId22" Type="http://schemas.openxmlformats.org/officeDocument/2006/relationships/hyperlink" Target="http://w1.c1.rada.gov.ua/pls/zweb2/webproc4_1?pf3511=68523" TargetMode="External"/><Relationship Id="rId21" Type="http://schemas.openxmlformats.org/officeDocument/2006/relationships/hyperlink" Target="http://kievvlast.com.ua/news/rada-otmenila-dlya-biznesa-shtrafnye-sanktsii-po-prosrochennym-v-period-karantina-kreditam" TargetMode="External"/><Relationship Id="rId24" Type="http://schemas.openxmlformats.org/officeDocument/2006/relationships/hyperlink" Target="http://w1.c1.rada.gov.ua/pls/zweb2/webproc4_1?pf3511=69184" TargetMode="External"/><Relationship Id="rId23" Type="http://schemas.openxmlformats.org/officeDocument/2006/relationships/hyperlink" Target="http://kievvlast.com.ua/news/slugi-naroda-predlagayut-uvelichit-maksimalnuyu-summu-anonimnyh-denezhnyh-perevodov?noredirect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danil.getmantsev/posts/3050059358402719" TargetMode="External"/><Relationship Id="rId25" Type="http://schemas.openxmlformats.org/officeDocument/2006/relationships/hyperlink" Target="https://zakon.rada.gov.ua/laws/show/1702-18#Text" TargetMode="External"/><Relationship Id="rId5" Type="http://schemas.openxmlformats.org/officeDocument/2006/relationships/styles" Target="styles.xml"/><Relationship Id="rId6" Type="http://schemas.openxmlformats.org/officeDocument/2006/relationships/hyperlink" Target="http://kievvlast.com.ua/news/rada-prinyala-zakon-chtoby-bolshoj-biznes-ne-prikryvalsya-malym-dlya-ukloneniya-ot-nalogov" TargetMode="External"/><Relationship Id="rId7" Type="http://schemas.openxmlformats.org/officeDocument/2006/relationships/hyperlink" Target="http://w1.c1.rada.gov.ua/pls/zweb2/webproc4_2?id=&amp;pf3516=1073&amp;skl=10" TargetMode="External"/><Relationship Id="rId8" Type="http://schemas.openxmlformats.org/officeDocument/2006/relationships/hyperlink" Target="http://kievvlast.com.ua/news/slugi-naroda-hotyat-otobrat-u-fizlits-predprinimatelej-pravo-predostavlyat-uslugi?noredirect=true" TargetMode="External"/><Relationship Id="rId11" Type="http://schemas.openxmlformats.org/officeDocument/2006/relationships/hyperlink" Target="https://www.facebook.com/danil.getmantsev/posts/3050059358402719" TargetMode="External"/><Relationship Id="rId10" Type="http://schemas.openxmlformats.org/officeDocument/2006/relationships/hyperlink" Target="http://kievvlast.com.ua/news/fizlitsa-predprinimateli-budut-imet-pravo-okazyvat-uslugidaniil-getmantsev?noredirect=true" TargetMode="External"/><Relationship Id="rId13" Type="http://schemas.openxmlformats.org/officeDocument/2006/relationships/hyperlink" Target="http://kievvlast.com.ua/news/rada-prinyala-revolyutsionnye-antiofshornye-izmeneniya-v-nalogovyj-kodeks?noredirect=true" TargetMode="External"/><Relationship Id="rId12" Type="http://schemas.openxmlformats.org/officeDocument/2006/relationships/hyperlink" Target="http://kievvlast.com.ua/news/rada-prinyala-revolyutsionnye-antiofshornye-izmeneniya-v-nalogovyj-kodeks?noredirect=true" TargetMode="External"/><Relationship Id="rId15" Type="http://schemas.openxmlformats.org/officeDocument/2006/relationships/hyperlink" Target="http://kievvlast.com.ua/news/prezident-likvidiroval-natskomfinuslug?noredirect=true" TargetMode="External"/><Relationship Id="rId14" Type="http://schemas.openxmlformats.org/officeDocument/2006/relationships/hyperlink" Target="https://w1.c1.rada.gov.ua/pls/zweb2/webproc4_1?pf3511=66520" TargetMode="External"/><Relationship Id="rId17" Type="http://schemas.openxmlformats.org/officeDocument/2006/relationships/hyperlink" Target="http://kievvlast.com.ua/base/dose-dubinskij-aleksandr-anatolevich" TargetMode="External"/><Relationship Id="rId16" Type="http://schemas.openxmlformats.org/officeDocument/2006/relationships/hyperlink" Target="https://zakon.rada.gov.ua/laws/show/79-20#Text" TargetMode="External"/><Relationship Id="rId19" Type="http://schemas.openxmlformats.org/officeDocument/2006/relationships/hyperlink" Target="http://kievvlast.com.ua/news/rada-otmenila-obyazannost-flp-platit-minimalnyj-esv-pri-otsutstvii-pribyli-iz-za-prostoya?noredirect=true" TargetMode="External"/><Relationship Id="rId18" Type="http://schemas.openxmlformats.org/officeDocument/2006/relationships/hyperlink" Target="http://kievvlast.com.ua/news/novoe-vneocherednoe-zasedanie-rady-sostoitsya-13-ma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