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432" w:rsidRPr="00A34432" w:rsidRDefault="00A34432" w:rsidP="00074922">
      <w:pPr>
        <w:suppressAutoHyphens/>
        <w:ind w:firstLine="5245"/>
        <w:jc w:val="center"/>
        <w:rPr>
          <w:b/>
          <w:lang w:val="uk-UA" w:eastAsia="zh-CN"/>
        </w:rPr>
      </w:pPr>
      <w:r w:rsidRPr="00A34432">
        <w:rPr>
          <w:b/>
          <w:lang w:val="uk-UA" w:eastAsia="zh-CN"/>
        </w:rPr>
        <w:t>Додаток</w:t>
      </w:r>
    </w:p>
    <w:p w:rsidR="00A34432" w:rsidRPr="00A34432" w:rsidRDefault="00A34432" w:rsidP="00074922">
      <w:pPr>
        <w:suppressAutoHyphens/>
        <w:ind w:firstLine="5245"/>
        <w:rPr>
          <w:b/>
          <w:lang w:val="uk-UA" w:eastAsia="zh-CN"/>
        </w:rPr>
      </w:pPr>
      <w:r w:rsidRPr="00A34432">
        <w:rPr>
          <w:b/>
          <w:lang w:val="uk-UA" w:eastAsia="zh-CN"/>
        </w:rPr>
        <w:t>до рішення Київської обласної ради</w:t>
      </w:r>
    </w:p>
    <w:p w:rsidR="00A34432" w:rsidRPr="00074922" w:rsidRDefault="00A34432" w:rsidP="00074922">
      <w:pPr>
        <w:suppressAutoHyphens/>
        <w:ind w:firstLine="5245"/>
        <w:rPr>
          <w:b/>
          <w:lang w:val="uk-UA" w:eastAsia="zh-CN"/>
        </w:rPr>
      </w:pPr>
      <w:r w:rsidRPr="00A34432">
        <w:rPr>
          <w:b/>
          <w:lang w:val="uk-UA" w:eastAsia="zh-CN"/>
        </w:rPr>
        <w:t xml:space="preserve">від </w:t>
      </w:r>
      <w:r w:rsidR="00074922">
        <w:rPr>
          <w:b/>
          <w:lang w:val="uk-UA" w:eastAsia="zh-CN"/>
        </w:rPr>
        <w:t>20.12.2018 № 524-25-</w:t>
      </w:r>
      <w:r w:rsidR="00074922">
        <w:rPr>
          <w:b/>
          <w:lang w:val="en-US" w:eastAsia="zh-CN"/>
        </w:rPr>
        <w:t>VII</w:t>
      </w:r>
    </w:p>
    <w:p w:rsidR="00A34432" w:rsidRPr="00A34432" w:rsidRDefault="00A34432" w:rsidP="00A34432">
      <w:pPr>
        <w:suppressAutoHyphens/>
        <w:jc w:val="right"/>
        <w:rPr>
          <w:b/>
          <w:lang w:val="uk-UA" w:eastAsia="zh-CN"/>
        </w:rPr>
      </w:pPr>
    </w:p>
    <w:p w:rsidR="007C33E6" w:rsidRPr="00851BE0" w:rsidRDefault="007C33E6" w:rsidP="007C33E6">
      <w:pPr>
        <w:jc w:val="center"/>
        <w:rPr>
          <w:b/>
          <w:lang w:val="uk-UA"/>
        </w:rPr>
      </w:pPr>
      <w:r w:rsidRPr="00851BE0">
        <w:rPr>
          <w:b/>
          <w:lang w:val="uk-UA"/>
        </w:rPr>
        <w:t>Зміни</w:t>
      </w:r>
    </w:p>
    <w:p w:rsidR="007C33E6" w:rsidRPr="00851BE0" w:rsidRDefault="007C33E6" w:rsidP="007C33E6">
      <w:pPr>
        <w:jc w:val="center"/>
        <w:rPr>
          <w:b/>
          <w:lang w:val="uk-UA"/>
        </w:rPr>
      </w:pPr>
      <w:r w:rsidRPr="00851BE0">
        <w:rPr>
          <w:b/>
          <w:lang w:val="uk-UA"/>
        </w:rPr>
        <w:t>до Програми будівництва, реконструкції та ремонту об’єктів інфраструктури Київської області на 2016 – 201</w:t>
      </w:r>
      <w:r w:rsidR="00977C8D">
        <w:rPr>
          <w:b/>
          <w:lang w:val="uk-UA"/>
        </w:rPr>
        <w:t>9</w:t>
      </w:r>
      <w:r w:rsidRPr="00851BE0">
        <w:rPr>
          <w:b/>
          <w:lang w:val="uk-UA"/>
        </w:rPr>
        <w:t xml:space="preserve"> роки</w:t>
      </w:r>
    </w:p>
    <w:p w:rsidR="00836024" w:rsidRPr="00851BE0" w:rsidRDefault="00836024" w:rsidP="007C33E6">
      <w:pPr>
        <w:jc w:val="center"/>
        <w:rPr>
          <w:b/>
          <w:lang w:val="uk-UA"/>
        </w:rPr>
      </w:pPr>
    </w:p>
    <w:p w:rsidR="007C33E6" w:rsidRPr="00851BE0" w:rsidRDefault="007C33E6" w:rsidP="0034688B">
      <w:pPr>
        <w:ind w:firstLine="708"/>
        <w:rPr>
          <w:lang w:val="uk-UA"/>
        </w:rPr>
      </w:pPr>
      <w:r w:rsidRPr="00851BE0">
        <w:rPr>
          <w:lang w:val="uk-UA"/>
        </w:rPr>
        <w:t xml:space="preserve">1. </w:t>
      </w:r>
      <w:r w:rsidR="005E7F6D" w:rsidRPr="00851BE0">
        <w:rPr>
          <w:lang w:val="uk-UA"/>
        </w:rPr>
        <w:t>Пункти 10 та 10.1. Паспорта Програми викласти у такій редакції:</w:t>
      </w:r>
    </w:p>
    <w:p w:rsidR="007C33E6" w:rsidRPr="00851BE0" w:rsidRDefault="00795969" w:rsidP="005E7F6D">
      <w:pPr>
        <w:rPr>
          <w:lang w:val="uk-UA"/>
        </w:rPr>
      </w:pPr>
      <w:r>
        <w:rPr>
          <w:lang w:val="uk-UA"/>
        </w:rPr>
        <w:t>«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245"/>
      </w:tblGrid>
      <w:tr w:rsidR="00D63A5E" w:rsidRPr="0080152C" w:rsidTr="00795969">
        <w:tc>
          <w:tcPr>
            <w:tcW w:w="709" w:type="dxa"/>
          </w:tcPr>
          <w:p w:rsidR="00D63A5E" w:rsidRPr="00851BE0" w:rsidRDefault="00D63A5E" w:rsidP="00D63A5E">
            <w:pPr>
              <w:tabs>
                <w:tab w:val="left" w:pos="777"/>
              </w:tabs>
              <w:outlineLvl w:val="0"/>
              <w:rPr>
                <w:lang w:val="uk-UA"/>
              </w:rPr>
            </w:pPr>
            <w:r w:rsidRPr="00851BE0">
              <w:rPr>
                <w:lang w:val="uk-UA"/>
              </w:rPr>
              <w:t>10.</w:t>
            </w:r>
          </w:p>
        </w:tc>
        <w:tc>
          <w:tcPr>
            <w:tcW w:w="3402" w:type="dxa"/>
          </w:tcPr>
          <w:p w:rsidR="00D63A5E" w:rsidRPr="00851BE0" w:rsidRDefault="00D63A5E" w:rsidP="00D63A5E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851BE0">
              <w:rPr>
                <w:sz w:val="28"/>
                <w:szCs w:val="28"/>
              </w:rPr>
              <w:t>Загальний обсяг фінансо</w:t>
            </w:r>
            <w:r w:rsidRPr="00851BE0">
              <w:rPr>
                <w:sz w:val="28"/>
                <w:szCs w:val="28"/>
              </w:rPr>
              <w:softHyphen/>
              <w:t>вих ресурсів, необхідних для реалізації Програми, всього,</w:t>
            </w:r>
          </w:p>
        </w:tc>
        <w:tc>
          <w:tcPr>
            <w:tcW w:w="5245" w:type="dxa"/>
          </w:tcPr>
          <w:p w:rsidR="00D63A5E" w:rsidRPr="00851BE0" w:rsidRDefault="00D63A5E" w:rsidP="00D63A5E">
            <w:pPr>
              <w:rPr>
                <w:lang w:val="uk-UA"/>
              </w:rPr>
            </w:pPr>
            <w:r w:rsidRPr="00851BE0">
              <w:rPr>
                <w:lang w:val="uk-UA"/>
              </w:rPr>
              <w:t>2016 рік – 370 915,126 тис. грн</w:t>
            </w:r>
          </w:p>
          <w:p w:rsidR="00D63A5E" w:rsidRPr="00851BE0" w:rsidRDefault="00D63A5E" w:rsidP="00D63A5E">
            <w:pPr>
              <w:rPr>
                <w:lang w:val="uk-UA"/>
              </w:rPr>
            </w:pPr>
            <w:r w:rsidRPr="00851BE0">
              <w:rPr>
                <w:lang w:val="uk-UA"/>
              </w:rPr>
              <w:t>2017 рік – 758 770,305 тис. грн</w:t>
            </w:r>
          </w:p>
          <w:p w:rsidR="00D63A5E" w:rsidRPr="00851BE0" w:rsidRDefault="00D63A5E" w:rsidP="00D63A5E">
            <w:pPr>
              <w:rPr>
                <w:lang w:val="uk-UA"/>
              </w:rPr>
            </w:pPr>
            <w:r w:rsidRPr="00851BE0">
              <w:rPr>
                <w:lang w:val="uk-UA"/>
              </w:rPr>
              <w:t xml:space="preserve">2018 рік – </w:t>
            </w:r>
            <w:r w:rsidR="0077107C" w:rsidRPr="0077107C">
              <w:rPr>
                <w:lang w:val="uk-UA"/>
              </w:rPr>
              <w:t>4</w:t>
            </w:r>
            <w:r w:rsidR="00977C8D">
              <w:rPr>
                <w:lang w:val="uk-UA"/>
              </w:rPr>
              <w:t>72</w:t>
            </w:r>
            <w:r w:rsidR="0077107C" w:rsidRPr="0077107C">
              <w:rPr>
                <w:lang w:val="uk-UA"/>
              </w:rPr>
              <w:t xml:space="preserve"> </w:t>
            </w:r>
            <w:r w:rsidR="00977C8D">
              <w:rPr>
                <w:lang w:val="uk-UA"/>
              </w:rPr>
              <w:t>214</w:t>
            </w:r>
            <w:r w:rsidR="0077107C" w:rsidRPr="0077107C">
              <w:rPr>
                <w:lang w:val="uk-UA"/>
              </w:rPr>
              <w:t>,</w:t>
            </w:r>
            <w:r w:rsidR="00977C8D">
              <w:rPr>
                <w:lang w:val="uk-UA"/>
              </w:rPr>
              <w:t>067</w:t>
            </w:r>
            <w:r w:rsidR="0077107C">
              <w:rPr>
                <w:lang w:val="uk-UA"/>
              </w:rPr>
              <w:t xml:space="preserve"> </w:t>
            </w:r>
            <w:r w:rsidRPr="00851BE0">
              <w:rPr>
                <w:lang w:val="uk-UA"/>
              </w:rPr>
              <w:t>тис. грн</w:t>
            </w:r>
          </w:p>
          <w:p w:rsidR="00A25219" w:rsidRPr="00851BE0" w:rsidRDefault="00A25219" w:rsidP="00A25219">
            <w:pPr>
              <w:rPr>
                <w:lang w:val="uk-UA"/>
              </w:rPr>
            </w:pPr>
            <w:r w:rsidRPr="00851BE0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  <w:r w:rsidRPr="00851BE0">
              <w:rPr>
                <w:lang w:val="uk-UA"/>
              </w:rPr>
              <w:t xml:space="preserve"> рік – </w:t>
            </w:r>
            <w:r>
              <w:rPr>
                <w:lang w:val="uk-UA"/>
              </w:rPr>
              <w:t xml:space="preserve">0,000 </w:t>
            </w:r>
            <w:r w:rsidRPr="00851BE0">
              <w:rPr>
                <w:lang w:val="uk-UA"/>
              </w:rPr>
              <w:t>тис. грн</w:t>
            </w:r>
          </w:p>
          <w:p w:rsidR="00D63A5E" w:rsidRPr="00851BE0" w:rsidRDefault="00D63A5E" w:rsidP="00D63A5E">
            <w:pPr>
              <w:rPr>
                <w:lang w:val="uk-UA"/>
              </w:rPr>
            </w:pPr>
          </w:p>
        </w:tc>
      </w:tr>
      <w:tr w:rsidR="00D63A5E" w:rsidRPr="00851BE0" w:rsidTr="00795969">
        <w:tc>
          <w:tcPr>
            <w:tcW w:w="709" w:type="dxa"/>
          </w:tcPr>
          <w:p w:rsidR="00D63A5E" w:rsidRPr="00851BE0" w:rsidRDefault="00D63A5E" w:rsidP="00D63A5E">
            <w:pPr>
              <w:tabs>
                <w:tab w:val="left" w:pos="777"/>
              </w:tabs>
              <w:outlineLvl w:val="0"/>
              <w:rPr>
                <w:lang w:val="uk-UA"/>
              </w:rPr>
            </w:pPr>
          </w:p>
        </w:tc>
        <w:tc>
          <w:tcPr>
            <w:tcW w:w="3402" w:type="dxa"/>
          </w:tcPr>
          <w:p w:rsidR="00D63A5E" w:rsidRPr="00851BE0" w:rsidRDefault="00D63A5E" w:rsidP="00D63A5E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851BE0">
              <w:rPr>
                <w:sz w:val="28"/>
                <w:szCs w:val="28"/>
              </w:rPr>
              <w:t>у тому числі:</w:t>
            </w:r>
          </w:p>
        </w:tc>
        <w:tc>
          <w:tcPr>
            <w:tcW w:w="5245" w:type="dxa"/>
          </w:tcPr>
          <w:p w:rsidR="00D63A5E" w:rsidRPr="00851BE0" w:rsidRDefault="00D63A5E" w:rsidP="00D63A5E">
            <w:pPr>
              <w:rPr>
                <w:lang w:val="uk-UA"/>
              </w:rPr>
            </w:pPr>
          </w:p>
        </w:tc>
      </w:tr>
      <w:tr w:rsidR="00D63A5E" w:rsidRPr="0080152C" w:rsidTr="00795969">
        <w:tc>
          <w:tcPr>
            <w:tcW w:w="709" w:type="dxa"/>
          </w:tcPr>
          <w:p w:rsidR="00D63A5E" w:rsidRPr="00851BE0" w:rsidRDefault="00D63A5E" w:rsidP="00D63A5E">
            <w:pPr>
              <w:tabs>
                <w:tab w:val="left" w:pos="777"/>
              </w:tabs>
              <w:outlineLvl w:val="0"/>
              <w:rPr>
                <w:lang w:val="uk-UA"/>
              </w:rPr>
            </w:pPr>
            <w:r w:rsidRPr="00851BE0">
              <w:rPr>
                <w:lang w:val="uk-UA"/>
              </w:rPr>
              <w:t>10.1</w:t>
            </w:r>
          </w:p>
        </w:tc>
        <w:tc>
          <w:tcPr>
            <w:tcW w:w="3402" w:type="dxa"/>
          </w:tcPr>
          <w:p w:rsidR="00D63A5E" w:rsidRPr="00851BE0" w:rsidRDefault="00D63A5E" w:rsidP="00D63A5E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851BE0">
              <w:rPr>
                <w:sz w:val="28"/>
                <w:szCs w:val="28"/>
              </w:rPr>
              <w:t>коштів державного бюджету</w:t>
            </w:r>
          </w:p>
        </w:tc>
        <w:tc>
          <w:tcPr>
            <w:tcW w:w="5245" w:type="dxa"/>
          </w:tcPr>
          <w:p w:rsidR="00D63A5E" w:rsidRPr="00851BE0" w:rsidRDefault="00D63A5E" w:rsidP="00D63A5E">
            <w:pPr>
              <w:rPr>
                <w:lang w:val="uk-UA"/>
              </w:rPr>
            </w:pPr>
            <w:r w:rsidRPr="00851BE0">
              <w:rPr>
                <w:lang w:val="uk-UA"/>
              </w:rPr>
              <w:t>2016 рік – 121 052,850 тис. грн</w:t>
            </w:r>
          </w:p>
          <w:p w:rsidR="00D63A5E" w:rsidRPr="00851BE0" w:rsidRDefault="00D63A5E" w:rsidP="00D63A5E">
            <w:pPr>
              <w:rPr>
                <w:lang w:val="uk-UA"/>
              </w:rPr>
            </w:pPr>
            <w:r w:rsidRPr="00851BE0">
              <w:rPr>
                <w:lang w:val="uk-UA"/>
              </w:rPr>
              <w:t>2017 рік – 0,000 тис. грн</w:t>
            </w:r>
          </w:p>
          <w:p w:rsidR="00D63A5E" w:rsidRPr="00851BE0" w:rsidRDefault="00D63A5E" w:rsidP="00D63A5E">
            <w:pPr>
              <w:rPr>
                <w:lang w:val="uk-UA"/>
              </w:rPr>
            </w:pPr>
            <w:r w:rsidRPr="00851BE0">
              <w:rPr>
                <w:lang w:val="uk-UA"/>
              </w:rPr>
              <w:t>2018 рік – 10 000,000 тис. грн</w:t>
            </w:r>
          </w:p>
          <w:p w:rsidR="00A25219" w:rsidRPr="00851BE0" w:rsidRDefault="00A25219" w:rsidP="00A25219">
            <w:pPr>
              <w:rPr>
                <w:lang w:val="uk-UA"/>
              </w:rPr>
            </w:pPr>
            <w:r w:rsidRPr="00851BE0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  <w:r w:rsidRPr="00851BE0">
              <w:rPr>
                <w:lang w:val="uk-UA"/>
              </w:rPr>
              <w:t xml:space="preserve"> рік – </w:t>
            </w:r>
            <w:r>
              <w:rPr>
                <w:lang w:val="uk-UA"/>
              </w:rPr>
              <w:t xml:space="preserve">0,000 </w:t>
            </w:r>
            <w:r w:rsidRPr="00851BE0">
              <w:rPr>
                <w:lang w:val="uk-UA"/>
              </w:rPr>
              <w:t>тис. грн</w:t>
            </w:r>
          </w:p>
          <w:p w:rsidR="00D63A5E" w:rsidRPr="00851BE0" w:rsidRDefault="00D63A5E" w:rsidP="00D63A5E">
            <w:pPr>
              <w:rPr>
                <w:lang w:val="uk-UA"/>
              </w:rPr>
            </w:pPr>
          </w:p>
        </w:tc>
      </w:tr>
      <w:tr w:rsidR="00D63A5E" w:rsidRPr="0080152C" w:rsidTr="00795969">
        <w:tc>
          <w:tcPr>
            <w:tcW w:w="709" w:type="dxa"/>
          </w:tcPr>
          <w:p w:rsidR="00D63A5E" w:rsidRPr="00851BE0" w:rsidRDefault="00D63A5E" w:rsidP="00D63A5E">
            <w:pPr>
              <w:tabs>
                <w:tab w:val="left" w:pos="777"/>
              </w:tabs>
              <w:outlineLvl w:val="0"/>
              <w:rPr>
                <w:lang w:val="uk-UA"/>
              </w:rPr>
            </w:pPr>
            <w:r w:rsidRPr="00851BE0">
              <w:rPr>
                <w:lang w:val="uk-UA"/>
              </w:rPr>
              <w:t>-</w:t>
            </w:r>
          </w:p>
        </w:tc>
        <w:tc>
          <w:tcPr>
            <w:tcW w:w="3402" w:type="dxa"/>
          </w:tcPr>
          <w:p w:rsidR="00D63A5E" w:rsidRPr="00851BE0" w:rsidRDefault="00D63A5E" w:rsidP="00D63A5E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851BE0">
              <w:rPr>
                <w:sz w:val="28"/>
                <w:szCs w:val="28"/>
              </w:rPr>
              <w:t>коштів обласного бюджету</w:t>
            </w:r>
          </w:p>
        </w:tc>
        <w:tc>
          <w:tcPr>
            <w:tcW w:w="5245" w:type="dxa"/>
          </w:tcPr>
          <w:p w:rsidR="00D63A5E" w:rsidRPr="00851BE0" w:rsidRDefault="00D63A5E" w:rsidP="00D63A5E">
            <w:pPr>
              <w:rPr>
                <w:lang w:val="uk-UA"/>
              </w:rPr>
            </w:pPr>
            <w:r w:rsidRPr="00851BE0">
              <w:rPr>
                <w:lang w:val="uk-UA"/>
              </w:rPr>
              <w:t>2016 рік – 194 906,547 тис. грн</w:t>
            </w:r>
          </w:p>
          <w:p w:rsidR="00D63A5E" w:rsidRPr="00851BE0" w:rsidRDefault="00D63A5E" w:rsidP="00D63A5E">
            <w:pPr>
              <w:rPr>
                <w:lang w:val="uk-UA"/>
              </w:rPr>
            </w:pPr>
            <w:r w:rsidRPr="00851BE0">
              <w:rPr>
                <w:lang w:val="uk-UA"/>
              </w:rPr>
              <w:t>2017 рік – 472 041,539 тис. грн</w:t>
            </w:r>
          </w:p>
          <w:p w:rsidR="00D63A5E" w:rsidRPr="00851BE0" w:rsidRDefault="00D63A5E" w:rsidP="00D63A5E">
            <w:pPr>
              <w:rPr>
                <w:lang w:val="uk-UA"/>
              </w:rPr>
            </w:pPr>
            <w:r w:rsidRPr="00851BE0">
              <w:rPr>
                <w:lang w:val="uk-UA"/>
              </w:rPr>
              <w:t xml:space="preserve">2018 рік – </w:t>
            </w:r>
            <w:r w:rsidR="0077107C" w:rsidRPr="0077107C">
              <w:rPr>
                <w:lang w:val="uk-UA"/>
              </w:rPr>
              <w:t>37</w:t>
            </w:r>
            <w:r w:rsidR="00977C8D">
              <w:rPr>
                <w:lang w:val="uk-UA"/>
              </w:rPr>
              <w:t>0</w:t>
            </w:r>
            <w:r w:rsidR="0077107C" w:rsidRPr="0077107C">
              <w:rPr>
                <w:lang w:val="uk-UA"/>
              </w:rPr>
              <w:t xml:space="preserve"> </w:t>
            </w:r>
            <w:r w:rsidR="00977C8D">
              <w:rPr>
                <w:lang w:val="uk-UA"/>
              </w:rPr>
              <w:t>475</w:t>
            </w:r>
            <w:r w:rsidR="0077107C" w:rsidRPr="0077107C">
              <w:rPr>
                <w:lang w:val="uk-UA"/>
              </w:rPr>
              <w:t>,</w:t>
            </w:r>
            <w:r w:rsidR="00977C8D">
              <w:rPr>
                <w:lang w:val="uk-UA"/>
              </w:rPr>
              <w:t>472</w:t>
            </w:r>
            <w:r w:rsidR="0077107C">
              <w:rPr>
                <w:lang w:val="uk-UA"/>
              </w:rPr>
              <w:t xml:space="preserve"> </w:t>
            </w:r>
            <w:r w:rsidRPr="00851BE0">
              <w:rPr>
                <w:lang w:val="uk-UA"/>
              </w:rPr>
              <w:t>тис. грн</w:t>
            </w:r>
          </w:p>
          <w:p w:rsidR="00A25219" w:rsidRPr="00851BE0" w:rsidRDefault="00A25219" w:rsidP="00A25219">
            <w:pPr>
              <w:rPr>
                <w:lang w:val="uk-UA"/>
              </w:rPr>
            </w:pPr>
            <w:r w:rsidRPr="00851BE0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  <w:r w:rsidRPr="00851BE0">
              <w:rPr>
                <w:lang w:val="uk-UA"/>
              </w:rPr>
              <w:t xml:space="preserve"> рік – </w:t>
            </w:r>
            <w:r>
              <w:rPr>
                <w:lang w:val="uk-UA"/>
              </w:rPr>
              <w:t xml:space="preserve">0,000 </w:t>
            </w:r>
            <w:r w:rsidRPr="00851BE0">
              <w:rPr>
                <w:lang w:val="uk-UA"/>
              </w:rPr>
              <w:t>тис. грн</w:t>
            </w:r>
          </w:p>
          <w:p w:rsidR="00D63A5E" w:rsidRPr="00851BE0" w:rsidRDefault="00D63A5E" w:rsidP="00A25219">
            <w:pPr>
              <w:rPr>
                <w:lang w:val="uk-UA"/>
              </w:rPr>
            </w:pPr>
          </w:p>
        </w:tc>
      </w:tr>
      <w:tr w:rsidR="00D63A5E" w:rsidRPr="0080152C" w:rsidTr="00795969">
        <w:tc>
          <w:tcPr>
            <w:tcW w:w="709" w:type="dxa"/>
          </w:tcPr>
          <w:p w:rsidR="00D63A5E" w:rsidRPr="00851BE0" w:rsidRDefault="00D63A5E" w:rsidP="00D63A5E">
            <w:pPr>
              <w:tabs>
                <w:tab w:val="left" w:pos="777"/>
              </w:tabs>
              <w:outlineLvl w:val="0"/>
              <w:rPr>
                <w:lang w:val="uk-UA"/>
              </w:rPr>
            </w:pPr>
            <w:r w:rsidRPr="00851BE0">
              <w:rPr>
                <w:lang w:val="uk-UA"/>
              </w:rPr>
              <w:t>-</w:t>
            </w:r>
          </w:p>
        </w:tc>
        <w:tc>
          <w:tcPr>
            <w:tcW w:w="3402" w:type="dxa"/>
          </w:tcPr>
          <w:p w:rsidR="00D63A5E" w:rsidRPr="00851BE0" w:rsidRDefault="00D63A5E" w:rsidP="00D63A5E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851BE0">
              <w:rPr>
                <w:sz w:val="28"/>
                <w:szCs w:val="28"/>
              </w:rPr>
              <w:t>коштів інших місцевих бюджетів</w:t>
            </w:r>
          </w:p>
        </w:tc>
        <w:tc>
          <w:tcPr>
            <w:tcW w:w="5245" w:type="dxa"/>
          </w:tcPr>
          <w:p w:rsidR="00D63A5E" w:rsidRPr="00851BE0" w:rsidRDefault="00D63A5E" w:rsidP="00D63A5E">
            <w:pPr>
              <w:rPr>
                <w:lang w:val="uk-UA"/>
              </w:rPr>
            </w:pPr>
            <w:r w:rsidRPr="00851BE0">
              <w:rPr>
                <w:lang w:val="uk-UA"/>
              </w:rPr>
              <w:t>2016 рік – 54 955,729 тис. грн</w:t>
            </w:r>
          </w:p>
          <w:p w:rsidR="00D63A5E" w:rsidRPr="00851BE0" w:rsidRDefault="00D63A5E" w:rsidP="00D63A5E">
            <w:pPr>
              <w:rPr>
                <w:lang w:val="uk-UA"/>
              </w:rPr>
            </w:pPr>
            <w:r w:rsidRPr="00851BE0">
              <w:rPr>
                <w:lang w:val="uk-UA"/>
              </w:rPr>
              <w:t>2017 рік – 286 728,766 тис. грн</w:t>
            </w:r>
          </w:p>
          <w:p w:rsidR="00D63A5E" w:rsidRPr="00851BE0" w:rsidRDefault="00D63A5E" w:rsidP="00D63A5E">
            <w:pPr>
              <w:rPr>
                <w:lang w:val="uk-UA"/>
              </w:rPr>
            </w:pPr>
            <w:r w:rsidRPr="00851BE0">
              <w:rPr>
                <w:lang w:val="uk-UA"/>
              </w:rPr>
              <w:t xml:space="preserve">2018 рік – </w:t>
            </w:r>
            <w:r w:rsidR="00977C8D">
              <w:rPr>
                <w:lang w:val="uk-UA"/>
              </w:rPr>
              <w:t>91</w:t>
            </w:r>
            <w:r w:rsidR="0077107C" w:rsidRPr="0077107C">
              <w:rPr>
                <w:lang w:val="uk-UA"/>
              </w:rPr>
              <w:t xml:space="preserve"> </w:t>
            </w:r>
            <w:r w:rsidR="00977C8D">
              <w:rPr>
                <w:lang w:val="uk-UA"/>
              </w:rPr>
              <w:t>738</w:t>
            </w:r>
            <w:r w:rsidR="0077107C" w:rsidRPr="0077107C">
              <w:rPr>
                <w:lang w:val="uk-UA"/>
              </w:rPr>
              <w:t>,</w:t>
            </w:r>
            <w:r w:rsidR="00977C8D">
              <w:rPr>
                <w:lang w:val="uk-UA"/>
              </w:rPr>
              <w:t>595</w:t>
            </w:r>
            <w:r w:rsidR="0077107C">
              <w:rPr>
                <w:lang w:val="uk-UA"/>
              </w:rPr>
              <w:t xml:space="preserve"> </w:t>
            </w:r>
            <w:r w:rsidRPr="00851BE0">
              <w:rPr>
                <w:lang w:val="uk-UA"/>
              </w:rPr>
              <w:t>тис. грн</w:t>
            </w:r>
          </w:p>
          <w:p w:rsidR="00D63A5E" w:rsidRDefault="00A25219" w:rsidP="00D63A5E">
            <w:pPr>
              <w:rPr>
                <w:lang w:val="uk-UA"/>
              </w:rPr>
            </w:pPr>
            <w:r w:rsidRPr="00851BE0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  <w:r w:rsidRPr="00851BE0">
              <w:rPr>
                <w:lang w:val="uk-UA"/>
              </w:rPr>
              <w:t xml:space="preserve"> рік – </w:t>
            </w:r>
            <w:r>
              <w:rPr>
                <w:lang w:val="uk-UA"/>
              </w:rPr>
              <w:t xml:space="preserve">0,000 </w:t>
            </w:r>
            <w:r w:rsidRPr="00851BE0">
              <w:rPr>
                <w:lang w:val="uk-UA"/>
              </w:rPr>
              <w:t>тис. грн</w:t>
            </w:r>
          </w:p>
          <w:p w:rsidR="00A25219" w:rsidRPr="00851BE0" w:rsidRDefault="00A25219" w:rsidP="00D63A5E">
            <w:pPr>
              <w:rPr>
                <w:lang w:val="uk-UA"/>
              </w:rPr>
            </w:pPr>
          </w:p>
        </w:tc>
      </w:tr>
      <w:tr w:rsidR="00D63A5E" w:rsidRPr="0080152C" w:rsidTr="00795969">
        <w:tc>
          <w:tcPr>
            <w:tcW w:w="709" w:type="dxa"/>
          </w:tcPr>
          <w:p w:rsidR="00D63A5E" w:rsidRPr="00851BE0" w:rsidRDefault="00D63A5E" w:rsidP="00D63A5E">
            <w:pPr>
              <w:tabs>
                <w:tab w:val="left" w:pos="777"/>
              </w:tabs>
              <w:outlineLvl w:val="0"/>
              <w:rPr>
                <w:lang w:val="uk-UA"/>
              </w:rPr>
            </w:pPr>
            <w:r w:rsidRPr="00851BE0">
              <w:rPr>
                <w:lang w:val="uk-UA"/>
              </w:rPr>
              <w:t>-</w:t>
            </w:r>
          </w:p>
        </w:tc>
        <w:tc>
          <w:tcPr>
            <w:tcW w:w="3402" w:type="dxa"/>
          </w:tcPr>
          <w:p w:rsidR="00D63A5E" w:rsidRPr="00851BE0" w:rsidRDefault="00D63A5E" w:rsidP="00D63A5E">
            <w:pPr>
              <w:pStyle w:val="a3"/>
              <w:shd w:val="clear" w:color="auto" w:fill="FFFFFF"/>
              <w:spacing w:before="0" w:after="0"/>
              <w:rPr>
                <w:sz w:val="28"/>
                <w:szCs w:val="28"/>
              </w:rPr>
            </w:pPr>
            <w:r w:rsidRPr="00851BE0">
              <w:rPr>
                <w:sz w:val="28"/>
                <w:szCs w:val="28"/>
              </w:rPr>
              <w:t>кошти інших джерел, не заборонених чинним законодавством</w:t>
            </w:r>
          </w:p>
        </w:tc>
        <w:tc>
          <w:tcPr>
            <w:tcW w:w="5245" w:type="dxa"/>
          </w:tcPr>
          <w:p w:rsidR="00D63A5E" w:rsidRPr="00851BE0" w:rsidRDefault="00D63A5E" w:rsidP="00D63A5E">
            <w:pPr>
              <w:rPr>
                <w:lang w:val="uk-UA"/>
              </w:rPr>
            </w:pPr>
            <w:r w:rsidRPr="00851BE0">
              <w:rPr>
                <w:lang w:val="uk-UA"/>
              </w:rPr>
              <w:t>2016 рік – 0,000 тис. грн</w:t>
            </w:r>
          </w:p>
          <w:p w:rsidR="00D63A5E" w:rsidRPr="00851BE0" w:rsidRDefault="00D63A5E" w:rsidP="00D63A5E">
            <w:pPr>
              <w:rPr>
                <w:lang w:val="uk-UA"/>
              </w:rPr>
            </w:pPr>
            <w:r w:rsidRPr="00851BE0">
              <w:rPr>
                <w:lang w:val="uk-UA"/>
              </w:rPr>
              <w:t>2017 рік – 0,000 тис. грн</w:t>
            </w:r>
          </w:p>
          <w:p w:rsidR="00D63A5E" w:rsidRPr="00851BE0" w:rsidRDefault="00D63A5E" w:rsidP="00D63A5E">
            <w:pPr>
              <w:rPr>
                <w:lang w:val="uk-UA"/>
              </w:rPr>
            </w:pPr>
            <w:r w:rsidRPr="00851BE0">
              <w:rPr>
                <w:lang w:val="uk-UA"/>
              </w:rPr>
              <w:t>2018 рік – 0,000 тис. грн</w:t>
            </w:r>
          </w:p>
          <w:p w:rsidR="00D63A5E" w:rsidRPr="00851BE0" w:rsidRDefault="00A25219" w:rsidP="00D63A5E">
            <w:pPr>
              <w:rPr>
                <w:lang w:val="uk-UA"/>
              </w:rPr>
            </w:pPr>
            <w:r w:rsidRPr="00851BE0">
              <w:rPr>
                <w:lang w:val="uk-UA"/>
              </w:rPr>
              <w:t>201</w:t>
            </w:r>
            <w:r>
              <w:rPr>
                <w:lang w:val="uk-UA"/>
              </w:rPr>
              <w:t>9</w:t>
            </w:r>
            <w:r w:rsidRPr="00851BE0">
              <w:rPr>
                <w:lang w:val="uk-UA"/>
              </w:rPr>
              <w:t xml:space="preserve"> рік – </w:t>
            </w:r>
            <w:r>
              <w:rPr>
                <w:lang w:val="uk-UA"/>
              </w:rPr>
              <w:t xml:space="preserve">0,000 </w:t>
            </w:r>
            <w:r w:rsidRPr="00851BE0">
              <w:rPr>
                <w:lang w:val="uk-UA"/>
              </w:rPr>
              <w:t>тис. грн</w:t>
            </w:r>
          </w:p>
        </w:tc>
      </w:tr>
    </w:tbl>
    <w:p w:rsidR="00223EFF" w:rsidRDefault="00795969" w:rsidP="00795969">
      <w:pPr>
        <w:tabs>
          <w:tab w:val="left" w:pos="709"/>
        </w:tabs>
        <w:ind w:firstLine="709"/>
        <w:jc w:val="right"/>
        <w:rPr>
          <w:lang w:val="uk-UA" w:eastAsia="zh-CN"/>
        </w:rPr>
      </w:pPr>
      <w:r>
        <w:rPr>
          <w:lang w:val="uk-UA" w:eastAsia="zh-CN"/>
        </w:rPr>
        <w:t>»</w:t>
      </w:r>
    </w:p>
    <w:p w:rsidR="007A438A" w:rsidRPr="00851BE0" w:rsidRDefault="007A438A" w:rsidP="00795969">
      <w:pPr>
        <w:tabs>
          <w:tab w:val="left" w:pos="709"/>
        </w:tabs>
        <w:ind w:firstLine="709"/>
        <w:jc w:val="right"/>
        <w:rPr>
          <w:lang w:val="uk-UA" w:eastAsia="zh-CN"/>
        </w:rPr>
      </w:pPr>
    </w:p>
    <w:p w:rsidR="00836024" w:rsidRDefault="004739E7" w:rsidP="00836024">
      <w:pPr>
        <w:tabs>
          <w:tab w:val="left" w:pos="709"/>
        </w:tabs>
        <w:ind w:firstLine="709"/>
        <w:jc w:val="both"/>
        <w:rPr>
          <w:lang w:val="uk-UA" w:eastAsia="zh-CN"/>
        </w:rPr>
      </w:pPr>
      <w:r w:rsidRPr="00851BE0">
        <w:rPr>
          <w:lang w:val="uk-UA" w:eastAsia="zh-CN"/>
        </w:rPr>
        <w:t xml:space="preserve">2. </w:t>
      </w:r>
      <w:r w:rsidR="00836024" w:rsidRPr="00836024">
        <w:rPr>
          <w:lang w:val="uk-UA" w:eastAsia="zh-CN"/>
        </w:rPr>
        <w:t>До розділу IV «Обґрунтування шляхів і засобів розв’язання проблеми, обсягів та джерел фінансування; строки та етапи виконання Програми» внести такі зміни:</w:t>
      </w:r>
    </w:p>
    <w:p w:rsidR="00836024" w:rsidRPr="00836024" w:rsidRDefault="00836024" w:rsidP="00836024">
      <w:pPr>
        <w:tabs>
          <w:tab w:val="left" w:pos="709"/>
        </w:tabs>
        <w:ind w:firstLine="709"/>
        <w:jc w:val="both"/>
        <w:rPr>
          <w:lang w:val="uk-UA" w:eastAsia="zh-CN"/>
        </w:rPr>
      </w:pPr>
      <w:r w:rsidRPr="00836024">
        <w:rPr>
          <w:lang w:eastAsia="zh-CN"/>
        </w:rPr>
        <w:t>2</w:t>
      </w:r>
      <w:r w:rsidRPr="00836024">
        <w:rPr>
          <w:lang w:val="uk-UA" w:eastAsia="zh-CN"/>
        </w:rPr>
        <w:t>.1. абзац 18 викласти у новій редакції такого змісту:</w:t>
      </w:r>
    </w:p>
    <w:p w:rsidR="00836024" w:rsidRDefault="00836024" w:rsidP="00836024">
      <w:pPr>
        <w:tabs>
          <w:tab w:val="left" w:pos="709"/>
        </w:tabs>
        <w:ind w:firstLine="709"/>
        <w:jc w:val="both"/>
        <w:rPr>
          <w:lang w:val="uk-UA" w:eastAsia="zh-CN"/>
        </w:rPr>
      </w:pPr>
      <w:r w:rsidRPr="00836024">
        <w:rPr>
          <w:lang w:val="uk-UA" w:eastAsia="zh-CN"/>
        </w:rPr>
        <w:t xml:space="preserve">«Для заходу «Будівництво Пластового </w:t>
      </w:r>
      <w:proofErr w:type="spellStart"/>
      <w:r w:rsidRPr="00836024">
        <w:rPr>
          <w:lang w:val="uk-UA" w:eastAsia="zh-CN"/>
        </w:rPr>
        <w:t>вишкільного</w:t>
      </w:r>
      <w:proofErr w:type="spellEnd"/>
      <w:r w:rsidRPr="00836024">
        <w:rPr>
          <w:lang w:val="uk-UA" w:eastAsia="zh-CN"/>
        </w:rPr>
        <w:t xml:space="preserve"> центру по вул. Антонія </w:t>
      </w:r>
      <w:proofErr w:type="spellStart"/>
      <w:r w:rsidRPr="00836024">
        <w:rPr>
          <w:lang w:val="uk-UA" w:eastAsia="zh-CN"/>
        </w:rPr>
        <w:t>Михайловського</w:t>
      </w:r>
      <w:proofErr w:type="spellEnd"/>
      <w:r w:rsidRPr="00836024">
        <w:rPr>
          <w:lang w:val="uk-UA" w:eastAsia="zh-CN"/>
        </w:rPr>
        <w:t xml:space="preserve">, 54, м. Буча, Київська область (в тому числі проектні роботи)», встановлено </w:t>
      </w:r>
      <w:proofErr w:type="spellStart"/>
      <w:r w:rsidRPr="00836024">
        <w:rPr>
          <w:lang w:val="uk-UA" w:eastAsia="zh-CN"/>
        </w:rPr>
        <w:t>співфінансування</w:t>
      </w:r>
      <w:proofErr w:type="spellEnd"/>
      <w:r w:rsidRPr="00836024">
        <w:rPr>
          <w:lang w:val="uk-UA" w:eastAsia="zh-CN"/>
        </w:rPr>
        <w:t xml:space="preserve"> менше ніж 50 відсотків від загальної суми фінансування, оскільки при умові включення заходів до Програми на виконання Указів Президента України чи Постанов Кабінету Міністрів </w:t>
      </w:r>
      <w:r w:rsidR="0080152C">
        <w:rPr>
          <w:lang w:val="uk-UA" w:eastAsia="zh-CN"/>
        </w:rPr>
        <w:t xml:space="preserve">України </w:t>
      </w:r>
      <w:r w:rsidRPr="00836024">
        <w:rPr>
          <w:lang w:val="uk-UA" w:eastAsia="zh-CN"/>
        </w:rPr>
        <w:t xml:space="preserve">робиться виключення. Даний проект включено до Програми на виконання Указу Президента </w:t>
      </w:r>
      <w:r w:rsidR="0080152C">
        <w:rPr>
          <w:lang w:val="uk-UA" w:eastAsia="zh-CN"/>
        </w:rPr>
        <w:lastRenderedPageBreak/>
        <w:t xml:space="preserve">України </w:t>
      </w:r>
      <w:r w:rsidRPr="00836024">
        <w:rPr>
          <w:lang w:val="uk-UA" w:eastAsia="zh-CN"/>
        </w:rPr>
        <w:t>від 28.03.2008 № 279/2008 «Про заходи щодо сприяння розвитку пластового (скаутського) руху в Україні» з метою забезпечення створення сприятливих умов для розвитку пластового (скаутського) руху в Україні, спрямованого на всебічний розвиток  молодої особистості, її моральних, духовних і фізичних якостей, патріотичне виховання підростаючого покоління, відродження історичних та культурних традицій українського народу (Додаток 7 до Програми).</w:t>
      </w:r>
      <w:r w:rsidR="00BD780C">
        <w:rPr>
          <w:lang w:val="uk-UA" w:eastAsia="zh-CN"/>
        </w:rPr>
        <w:t xml:space="preserve"> </w:t>
      </w:r>
      <w:r w:rsidRPr="00836024">
        <w:rPr>
          <w:lang w:val="uk-UA" w:eastAsia="zh-CN"/>
        </w:rPr>
        <w:t>Після завершення будівництва зазначеного об’єкта та отримання декларації про готовність об’єкта до експлуатації, він буде переданий до спільної власності територіальних громад, сіл, селищ, міст Київської області</w:t>
      </w:r>
      <w:r w:rsidR="0080152C">
        <w:rPr>
          <w:lang w:val="uk-UA" w:eastAsia="zh-CN"/>
        </w:rPr>
        <w:t>,</w:t>
      </w:r>
      <w:r w:rsidRPr="00836024">
        <w:rPr>
          <w:lang w:val="uk-UA" w:eastAsia="zh-CN"/>
        </w:rPr>
        <w:t xml:space="preserve"> в особі Київської обласної ради.»</w:t>
      </w:r>
    </w:p>
    <w:p w:rsidR="00836024" w:rsidRPr="00836024" w:rsidRDefault="00836024" w:rsidP="00836024">
      <w:pPr>
        <w:tabs>
          <w:tab w:val="left" w:pos="709"/>
        </w:tabs>
        <w:ind w:firstLine="709"/>
        <w:jc w:val="both"/>
        <w:rPr>
          <w:lang w:val="uk-UA" w:eastAsia="zh-CN"/>
        </w:rPr>
      </w:pPr>
    </w:p>
    <w:p w:rsidR="00836024" w:rsidRPr="00836024" w:rsidRDefault="00836024" w:rsidP="00836024">
      <w:pPr>
        <w:tabs>
          <w:tab w:val="left" w:pos="709"/>
        </w:tabs>
        <w:ind w:firstLine="709"/>
        <w:jc w:val="both"/>
        <w:rPr>
          <w:lang w:val="uk-UA" w:eastAsia="zh-CN"/>
        </w:rPr>
      </w:pPr>
      <w:r w:rsidRPr="00836024">
        <w:rPr>
          <w:lang w:eastAsia="zh-CN"/>
        </w:rPr>
        <w:t>2</w:t>
      </w:r>
      <w:r w:rsidRPr="00836024">
        <w:rPr>
          <w:lang w:val="uk-UA" w:eastAsia="zh-CN"/>
        </w:rPr>
        <w:t>.2. доповнити розділ новим абзацом 30 такого змісту:</w:t>
      </w:r>
    </w:p>
    <w:p w:rsidR="00836024" w:rsidRDefault="00836024" w:rsidP="00836024">
      <w:pPr>
        <w:tabs>
          <w:tab w:val="left" w:pos="709"/>
        </w:tabs>
        <w:ind w:firstLine="709"/>
        <w:jc w:val="both"/>
        <w:rPr>
          <w:lang w:val="uk-UA" w:eastAsia="zh-CN"/>
        </w:rPr>
      </w:pPr>
      <w:r w:rsidRPr="00836024">
        <w:rPr>
          <w:lang w:val="uk-UA" w:eastAsia="zh-CN"/>
        </w:rPr>
        <w:t xml:space="preserve">«Для заходу Програми «Реконструкція </w:t>
      </w:r>
      <w:proofErr w:type="spellStart"/>
      <w:r w:rsidRPr="00836024">
        <w:rPr>
          <w:lang w:val="uk-UA" w:eastAsia="zh-CN"/>
        </w:rPr>
        <w:t>Карапишівської</w:t>
      </w:r>
      <w:proofErr w:type="spellEnd"/>
      <w:r w:rsidRPr="00836024">
        <w:rPr>
          <w:lang w:val="uk-UA" w:eastAsia="zh-CN"/>
        </w:rPr>
        <w:t xml:space="preserve"> ЗОШ І-ІІІ ступенів </w:t>
      </w:r>
      <w:r w:rsidR="0080152C">
        <w:rPr>
          <w:lang w:val="uk-UA" w:eastAsia="zh-CN"/>
        </w:rPr>
        <w:t xml:space="preserve">  </w:t>
      </w:r>
      <w:bookmarkStart w:id="0" w:name="_GoBack"/>
      <w:bookmarkEnd w:id="0"/>
      <w:r w:rsidRPr="00836024">
        <w:rPr>
          <w:lang w:val="uk-UA" w:eastAsia="zh-CN"/>
        </w:rPr>
        <w:t>№</w:t>
      </w:r>
      <w:r w:rsidR="0080152C">
        <w:rPr>
          <w:lang w:val="uk-UA" w:eastAsia="zh-CN"/>
        </w:rPr>
        <w:t xml:space="preserve"> </w:t>
      </w:r>
      <w:r w:rsidRPr="00836024">
        <w:rPr>
          <w:lang w:val="uk-UA" w:eastAsia="zh-CN"/>
        </w:rPr>
        <w:t xml:space="preserve">1 по вул. Незалежності, 36 в с. </w:t>
      </w:r>
      <w:proofErr w:type="spellStart"/>
      <w:r w:rsidRPr="00836024">
        <w:rPr>
          <w:lang w:val="uk-UA" w:eastAsia="zh-CN"/>
        </w:rPr>
        <w:t>Карапиші</w:t>
      </w:r>
      <w:proofErr w:type="spellEnd"/>
      <w:r w:rsidRPr="00836024">
        <w:rPr>
          <w:lang w:val="uk-UA" w:eastAsia="zh-CN"/>
        </w:rPr>
        <w:t xml:space="preserve">, Миронівського району, Київської області. Утеплення зовнішніх стін та будівництво котельні на альтернативному паливі» знято </w:t>
      </w:r>
      <w:proofErr w:type="spellStart"/>
      <w:r w:rsidRPr="00836024">
        <w:rPr>
          <w:lang w:val="uk-UA" w:eastAsia="zh-CN"/>
        </w:rPr>
        <w:t>співфінансування</w:t>
      </w:r>
      <w:proofErr w:type="spellEnd"/>
      <w:r w:rsidRPr="00836024">
        <w:rPr>
          <w:lang w:val="uk-UA" w:eastAsia="zh-CN"/>
        </w:rPr>
        <w:t xml:space="preserve">, як виняток, у зв’язку з неспроможністю місцевого бюджету забезпечити необхідне </w:t>
      </w:r>
      <w:proofErr w:type="spellStart"/>
      <w:r w:rsidRPr="00836024">
        <w:rPr>
          <w:lang w:val="uk-UA" w:eastAsia="zh-CN"/>
        </w:rPr>
        <w:t>співфінансування</w:t>
      </w:r>
      <w:proofErr w:type="spellEnd"/>
      <w:r w:rsidRPr="00836024">
        <w:rPr>
          <w:lang w:val="uk-UA" w:eastAsia="zh-CN"/>
        </w:rPr>
        <w:t>.»</w:t>
      </w:r>
    </w:p>
    <w:p w:rsidR="00836024" w:rsidRDefault="00836024" w:rsidP="00836024">
      <w:pPr>
        <w:tabs>
          <w:tab w:val="left" w:pos="709"/>
        </w:tabs>
        <w:ind w:firstLine="709"/>
        <w:jc w:val="both"/>
        <w:rPr>
          <w:lang w:val="uk-UA" w:eastAsia="zh-CN"/>
        </w:rPr>
      </w:pPr>
    </w:p>
    <w:p w:rsidR="00836024" w:rsidRDefault="00836024" w:rsidP="00836024">
      <w:pPr>
        <w:tabs>
          <w:tab w:val="left" w:pos="709"/>
        </w:tabs>
        <w:ind w:firstLine="709"/>
        <w:jc w:val="both"/>
        <w:rPr>
          <w:lang w:val="uk-UA" w:eastAsia="zh-CN"/>
        </w:rPr>
      </w:pPr>
      <w:r w:rsidRPr="00836024">
        <w:rPr>
          <w:lang w:val="uk-UA" w:eastAsia="zh-CN"/>
        </w:rPr>
        <w:t>2.3. абзаци 30-37 вважати абзацами 31-38</w:t>
      </w:r>
    </w:p>
    <w:p w:rsidR="00836024" w:rsidRPr="00836024" w:rsidRDefault="00836024" w:rsidP="00836024">
      <w:pPr>
        <w:tabs>
          <w:tab w:val="left" w:pos="709"/>
        </w:tabs>
        <w:ind w:firstLine="709"/>
        <w:jc w:val="both"/>
        <w:rPr>
          <w:lang w:val="uk-UA" w:eastAsia="zh-CN"/>
        </w:rPr>
      </w:pPr>
    </w:p>
    <w:p w:rsidR="00D63A5E" w:rsidRPr="00851BE0" w:rsidRDefault="00836024" w:rsidP="00D63A5E">
      <w:pPr>
        <w:tabs>
          <w:tab w:val="left" w:pos="709"/>
        </w:tabs>
        <w:ind w:firstLine="709"/>
        <w:jc w:val="both"/>
        <w:rPr>
          <w:lang w:val="uk-UA" w:eastAsia="zh-CN"/>
        </w:rPr>
      </w:pPr>
      <w:r w:rsidRPr="00836024">
        <w:rPr>
          <w:lang w:val="uk-UA" w:eastAsia="zh-CN"/>
        </w:rPr>
        <w:t>2.4</w:t>
      </w:r>
      <w:r>
        <w:rPr>
          <w:lang w:val="uk-UA" w:eastAsia="zh-CN"/>
        </w:rPr>
        <w:t>.</w:t>
      </w:r>
      <w:r w:rsidRPr="00836024">
        <w:rPr>
          <w:lang w:val="uk-UA" w:eastAsia="zh-CN"/>
        </w:rPr>
        <w:t xml:space="preserve"> </w:t>
      </w:r>
      <w:r>
        <w:rPr>
          <w:lang w:val="uk-UA" w:eastAsia="zh-CN"/>
        </w:rPr>
        <w:t>а</w:t>
      </w:r>
      <w:r w:rsidR="00D63A5E" w:rsidRPr="00851BE0">
        <w:rPr>
          <w:lang w:val="uk-UA" w:eastAsia="zh-CN"/>
        </w:rPr>
        <w:t xml:space="preserve">бзац </w:t>
      </w:r>
      <w:r w:rsidRPr="002E764E">
        <w:rPr>
          <w:lang w:val="uk-UA" w:eastAsia="zh-CN"/>
        </w:rPr>
        <w:t>3</w:t>
      </w:r>
      <w:r w:rsidR="002E764E" w:rsidRPr="007A438A">
        <w:rPr>
          <w:lang w:eastAsia="zh-CN"/>
        </w:rPr>
        <w:t>5</w:t>
      </w:r>
      <w:r>
        <w:rPr>
          <w:lang w:val="uk-UA" w:eastAsia="zh-CN"/>
        </w:rPr>
        <w:t xml:space="preserve"> </w:t>
      </w:r>
      <w:r w:rsidR="00D63A5E" w:rsidRPr="00851BE0">
        <w:rPr>
          <w:lang w:val="uk-UA" w:eastAsia="zh-CN"/>
        </w:rPr>
        <w:t>викласти у такій редакції:</w:t>
      </w:r>
    </w:p>
    <w:p w:rsidR="00D63A5E" w:rsidRPr="00851BE0" w:rsidRDefault="00AA6FC0" w:rsidP="00D63A5E">
      <w:pPr>
        <w:ind w:firstLine="709"/>
        <w:jc w:val="both"/>
        <w:rPr>
          <w:lang w:val="uk-UA" w:eastAsia="zh-CN"/>
        </w:rPr>
      </w:pPr>
      <w:r>
        <w:rPr>
          <w:lang w:val="uk-UA" w:eastAsia="zh-CN"/>
        </w:rPr>
        <w:t>«</w:t>
      </w:r>
      <w:r w:rsidR="00D63A5E" w:rsidRPr="00851BE0">
        <w:rPr>
          <w:lang w:val="uk-UA" w:eastAsia="zh-CN"/>
        </w:rPr>
        <w:t xml:space="preserve">Обсяг фінансування на реалізацію заходів Програми на 2018 рік становить </w:t>
      </w:r>
      <w:r w:rsidR="0077107C" w:rsidRPr="0077107C">
        <w:rPr>
          <w:lang w:val="uk-UA"/>
        </w:rPr>
        <w:t>4</w:t>
      </w:r>
      <w:r w:rsidR="00977C8D">
        <w:rPr>
          <w:lang w:val="uk-UA"/>
        </w:rPr>
        <w:t>72</w:t>
      </w:r>
      <w:r w:rsidR="0077107C">
        <w:rPr>
          <w:lang w:val="uk-UA"/>
        </w:rPr>
        <w:t> </w:t>
      </w:r>
      <w:r w:rsidR="00977C8D">
        <w:rPr>
          <w:lang w:val="uk-UA"/>
        </w:rPr>
        <w:t>214</w:t>
      </w:r>
      <w:r w:rsidR="0077107C" w:rsidRPr="0077107C">
        <w:rPr>
          <w:lang w:val="uk-UA"/>
        </w:rPr>
        <w:t>,</w:t>
      </w:r>
      <w:r w:rsidR="00977C8D">
        <w:rPr>
          <w:lang w:val="uk-UA"/>
        </w:rPr>
        <w:t>067</w:t>
      </w:r>
      <w:r w:rsidR="0077107C" w:rsidRPr="0077107C">
        <w:rPr>
          <w:lang w:val="uk-UA"/>
        </w:rPr>
        <w:t xml:space="preserve"> </w:t>
      </w:r>
      <w:r w:rsidR="00D63A5E" w:rsidRPr="00851BE0">
        <w:rPr>
          <w:lang w:val="uk-UA"/>
        </w:rPr>
        <w:t>тис.</w:t>
      </w:r>
      <w:r w:rsidR="00317202" w:rsidRPr="00851BE0">
        <w:rPr>
          <w:lang w:val="uk-UA"/>
        </w:rPr>
        <w:t xml:space="preserve"> </w:t>
      </w:r>
      <w:r w:rsidR="00D63A5E" w:rsidRPr="00851BE0">
        <w:rPr>
          <w:lang w:val="uk-UA"/>
        </w:rPr>
        <w:t>грн, у тому числі: державного бюджету – 10 000,000 тис.</w:t>
      </w:r>
      <w:r w:rsidR="00317202" w:rsidRPr="00851BE0">
        <w:rPr>
          <w:lang w:val="uk-UA"/>
        </w:rPr>
        <w:t xml:space="preserve"> </w:t>
      </w:r>
      <w:r w:rsidR="00D27AFB">
        <w:rPr>
          <w:lang w:val="uk-UA"/>
        </w:rPr>
        <w:t>грн</w:t>
      </w:r>
      <w:r w:rsidR="00D63A5E" w:rsidRPr="00851BE0">
        <w:rPr>
          <w:lang w:val="uk-UA"/>
        </w:rPr>
        <w:t xml:space="preserve">, обласного бюджету – </w:t>
      </w:r>
      <w:r w:rsidR="0077107C" w:rsidRPr="0077107C">
        <w:rPr>
          <w:lang w:val="uk-UA"/>
        </w:rPr>
        <w:t>37</w:t>
      </w:r>
      <w:r w:rsidR="00977C8D">
        <w:rPr>
          <w:lang w:val="uk-UA"/>
        </w:rPr>
        <w:t>0</w:t>
      </w:r>
      <w:r w:rsidR="0077107C">
        <w:rPr>
          <w:lang w:val="uk-UA"/>
        </w:rPr>
        <w:t> </w:t>
      </w:r>
      <w:r w:rsidR="00977C8D">
        <w:rPr>
          <w:lang w:val="uk-UA"/>
        </w:rPr>
        <w:t>475</w:t>
      </w:r>
      <w:r w:rsidR="0077107C">
        <w:rPr>
          <w:lang w:val="uk-UA"/>
        </w:rPr>
        <w:t>,</w:t>
      </w:r>
      <w:r w:rsidR="00977C8D">
        <w:rPr>
          <w:lang w:val="uk-UA"/>
        </w:rPr>
        <w:t>472</w:t>
      </w:r>
      <w:r w:rsidR="0077107C">
        <w:rPr>
          <w:lang w:val="uk-UA"/>
        </w:rPr>
        <w:t xml:space="preserve"> </w:t>
      </w:r>
      <w:r w:rsidR="00D63A5E" w:rsidRPr="00851BE0">
        <w:rPr>
          <w:lang w:val="uk-UA"/>
        </w:rPr>
        <w:t>тис.</w:t>
      </w:r>
      <w:r w:rsidR="0077107C">
        <w:rPr>
          <w:lang w:val="uk-UA"/>
        </w:rPr>
        <w:t> </w:t>
      </w:r>
      <w:r w:rsidR="00D63A5E" w:rsidRPr="00851BE0">
        <w:rPr>
          <w:lang w:val="uk-UA"/>
        </w:rPr>
        <w:t xml:space="preserve">грн, місцевих бюджетів </w:t>
      </w:r>
      <w:r w:rsidR="00851BE0" w:rsidRPr="00851BE0">
        <w:rPr>
          <w:lang w:val="uk-UA"/>
        </w:rPr>
        <w:t xml:space="preserve">– </w:t>
      </w:r>
      <w:r w:rsidR="00977C8D">
        <w:rPr>
          <w:lang w:val="uk-UA"/>
        </w:rPr>
        <w:t>91</w:t>
      </w:r>
      <w:r w:rsidR="0077107C">
        <w:rPr>
          <w:lang w:val="uk-UA"/>
        </w:rPr>
        <w:t> </w:t>
      </w:r>
      <w:r w:rsidR="00977C8D">
        <w:rPr>
          <w:lang w:val="uk-UA"/>
        </w:rPr>
        <w:t>738</w:t>
      </w:r>
      <w:r w:rsidR="0077107C" w:rsidRPr="0077107C">
        <w:rPr>
          <w:lang w:val="uk-UA"/>
        </w:rPr>
        <w:t>,</w:t>
      </w:r>
      <w:r w:rsidR="00977C8D">
        <w:rPr>
          <w:lang w:val="uk-UA"/>
        </w:rPr>
        <w:t>595</w:t>
      </w:r>
      <w:r w:rsidR="0077107C">
        <w:rPr>
          <w:lang w:val="uk-UA"/>
        </w:rPr>
        <w:t> </w:t>
      </w:r>
      <w:r w:rsidR="00D63A5E" w:rsidRPr="00851BE0">
        <w:rPr>
          <w:lang w:val="uk-UA"/>
        </w:rPr>
        <w:t>тис</w:t>
      </w:r>
      <w:r w:rsidR="00D63A5E" w:rsidRPr="00851BE0">
        <w:rPr>
          <w:lang w:val="uk-UA" w:eastAsia="zh-CN"/>
        </w:rPr>
        <w:t>.</w:t>
      </w:r>
      <w:r w:rsidR="00851BE0" w:rsidRPr="00851BE0">
        <w:rPr>
          <w:lang w:val="uk-UA" w:eastAsia="zh-CN"/>
        </w:rPr>
        <w:t> </w:t>
      </w:r>
      <w:r>
        <w:rPr>
          <w:lang w:val="uk-UA" w:eastAsia="zh-CN"/>
        </w:rPr>
        <w:t>гривень.»</w:t>
      </w:r>
    </w:p>
    <w:p w:rsidR="00D63A5E" w:rsidRPr="00851BE0" w:rsidRDefault="00D63A5E" w:rsidP="00555D4C">
      <w:pPr>
        <w:tabs>
          <w:tab w:val="left" w:pos="709"/>
        </w:tabs>
        <w:ind w:firstLine="709"/>
        <w:jc w:val="both"/>
        <w:rPr>
          <w:lang w:val="uk-UA" w:eastAsia="zh-CN"/>
        </w:rPr>
      </w:pPr>
    </w:p>
    <w:p w:rsidR="00836024" w:rsidRDefault="00555D4C" w:rsidP="00D63A5E">
      <w:pPr>
        <w:ind w:firstLine="709"/>
        <w:contextualSpacing/>
        <w:jc w:val="both"/>
        <w:rPr>
          <w:lang w:val="uk-UA"/>
        </w:rPr>
      </w:pPr>
      <w:r w:rsidRPr="00851BE0">
        <w:rPr>
          <w:lang w:val="uk-UA"/>
        </w:rPr>
        <w:t>3</w:t>
      </w:r>
      <w:r w:rsidR="007C33E6" w:rsidRPr="00851BE0">
        <w:rPr>
          <w:lang w:val="uk-UA"/>
        </w:rPr>
        <w:t xml:space="preserve">. Додаток 1 до Програми </w:t>
      </w:r>
      <w:r w:rsidR="00E03A96" w:rsidRPr="00851BE0">
        <w:rPr>
          <w:lang w:val="uk-UA"/>
        </w:rPr>
        <w:t>«</w:t>
      </w:r>
      <w:r w:rsidR="007C33E6" w:rsidRPr="00851BE0">
        <w:rPr>
          <w:lang w:val="uk-UA"/>
        </w:rPr>
        <w:t>Ресурсне забезпечення Програми будівництва, реконструкції та ремонту об’єктів інфраструктури Київ</w:t>
      </w:r>
      <w:r w:rsidR="00E03A96" w:rsidRPr="00851BE0">
        <w:rPr>
          <w:lang w:val="uk-UA"/>
        </w:rPr>
        <w:t xml:space="preserve">ської області на </w:t>
      </w:r>
      <w:r w:rsidR="00747F99" w:rsidRPr="00851BE0">
        <w:rPr>
          <w:lang w:val="uk-UA"/>
        </w:rPr>
        <w:t xml:space="preserve">                           </w:t>
      </w:r>
      <w:r w:rsidR="00E03A96" w:rsidRPr="00851BE0">
        <w:rPr>
          <w:lang w:val="uk-UA"/>
        </w:rPr>
        <w:t>2016-201</w:t>
      </w:r>
      <w:r w:rsidR="00977C8D">
        <w:rPr>
          <w:lang w:val="uk-UA"/>
        </w:rPr>
        <w:t>9</w:t>
      </w:r>
      <w:r w:rsidR="00E03A96" w:rsidRPr="00851BE0">
        <w:rPr>
          <w:lang w:val="uk-UA"/>
        </w:rPr>
        <w:t xml:space="preserve"> роки»</w:t>
      </w:r>
      <w:r w:rsidR="007C33E6" w:rsidRPr="00851BE0">
        <w:rPr>
          <w:lang w:val="uk-UA"/>
        </w:rPr>
        <w:t xml:space="preserve"> викласти у такій редакції:</w:t>
      </w:r>
    </w:p>
    <w:p w:rsidR="007C33E6" w:rsidRPr="00851BE0" w:rsidRDefault="00BC4507" w:rsidP="007C33E6">
      <w:pPr>
        <w:contextualSpacing/>
        <w:jc w:val="right"/>
        <w:rPr>
          <w:lang w:val="uk-UA"/>
        </w:rPr>
      </w:pPr>
      <w:r>
        <w:rPr>
          <w:lang w:val="uk-UA"/>
        </w:rPr>
        <w:t>«</w:t>
      </w:r>
      <w:r w:rsidR="007C33E6" w:rsidRPr="00851BE0">
        <w:rPr>
          <w:lang w:val="uk-UA"/>
        </w:rPr>
        <w:t xml:space="preserve">Додаток 1 </w:t>
      </w:r>
    </w:p>
    <w:p w:rsidR="007C33E6" w:rsidRPr="00851BE0" w:rsidRDefault="007C33E6" w:rsidP="007C33E6">
      <w:pPr>
        <w:ind w:firstLine="6237"/>
        <w:contextualSpacing/>
        <w:jc w:val="right"/>
        <w:rPr>
          <w:lang w:val="uk-UA"/>
        </w:rPr>
      </w:pPr>
      <w:r w:rsidRPr="00851BE0">
        <w:rPr>
          <w:lang w:val="uk-UA"/>
        </w:rPr>
        <w:t xml:space="preserve">до Програми </w:t>
      </w:r>
    </w:p>
    <w:p w:rsidR="007C33E6" w:rsidRPr="00851BE0" w:rsidRDefault="007C33E6" w:rsidP="007C33E6">
      <w:pPr>
        <w:pStyle w:val="a3"/>
        <w:spacing w:before="0" w:after="0"/>
        <w:contextualSpacing/>
        <w:jc w:val="center"/>
        <w:rPr>
          <w:b/>
          <w:bCs/>
          <w:iCs/>
          <w:sz w:val="28"/>
          <w:szCs w:val="28"/>
        </w:rPr>
      </w:pPr>
      <w:r w:rsidRPr="00851BE0">
        <w:rPr>
          <w:b/>
          <w:bCs/>
          <w:iCs/>
          <w:sz w:val="28"/>
          <w:szCs w:val="28"/>
        </w:rPr>
        <w:t xml:space="preserve">Ресурсне забезпечення Програми </w:t>
      </w:r>
    </w:p>
    <w:p w:rsidR="007C33E6" w:rsidRPr="00851BE0" w:rsidRDefault="007C33E6" w:rsidP="007C33E6">
      <w:pPr>
        <w:pStyle w:val="a3"/>
        <w:spacing w:before="0" w:after="0"/>
        <w:contextualSpacing/>
        <w:jc w:val="center"/>
        <w:rPr>
          <w:b/>
          <w:bCs/>
          <w:iCs/>
          <w:sz w:val="28"/>
          <w:szCs w:val="28"/>
        </w:rPr>
      </w:pPr>
      <w:r w:rsidRPr="00851BE0">
        <w:rPr>
          <w:b/>
          <w:bCs/>
          <w:iCs/>
          <w:sz w:val="28"/>
          <w:szCs w:val="28"/>
        </w:rPr>
        <w:t xml:space="preserve">будівництва, реконструкції та ремонту об’єктів </w:t>
      </w:r>
    </w:p>
    <w:p w:rsidR="007C33E6" w:rsidRPr="00851BE0" w:rsidRDefault="007C33E6" w:rsidP="007C33E6">
      <w:pPr>
        <w:pStyle w:val="a3"/>
        <w:spacing w:before="0" w:after="0"/>
        <w:contextualSpacing/>
        <w:jc w:val="center"/>
        <w:rPr>
          <w:b/>
          <w:bCs/>
          <w:iCs/>
          <w:sz w:val="28"/>
          <w:szCs w:val="28"/>
        </w:rPr>
      </w:pPr>
      <w:r w:rsidRPr="00851BE0">
        <w:rPr>
          <w:b/>
          <w:bCs/>
          <w:iCs/>
          <w:sz w:val="28"/>
          <w:szCs w:val="28"/>
        </w:rPr>
        <w:t>інфраструктури Київської області на 2016-201</w:t>
      </w:r>
      <w:r w:rsidR="00A25219">
        <w:rPr>
          <w:b/>
          <w:bCs/>
          <w:iCs/>
          <w:sz w:val="28"/>
          <w:szCs w:val="28"/>
        </w:rPr>
        <w:t>9</w:t>
      </w:r>
      <w:r w:rsidRPr="00851BE0">
        <w:rPr>
          <w:b/>
          <w:bCs/>
          <w:iCs/>
          <w:sz w:val="28"/>
          <w:szCs w:val="28"/>
        </w:rPr>
        <w:t xml:space="preserve"> роки</w:t>
      </w:r>
    </w:p>
    <w:p w:rsidR="007C33E6" w:rsidRPr="00851BE0" w:rsidRDefault="007C33E6" w:rsidP="00385A7F">
      <w:pPr>
        <w:pStyle w:val="a3"/>
        <w:spacing w:before="0" w:after="0"/>
        <w:contextualSpacing/>
        <w:jc w:val="right"/>
      </w:pPr>
      <w:r w:rsidRPr="00851BE0">
        <w:t>тис. грн</w:t>
      </w:r>
    </w:p>
    <w:tbl>
      <w:tblPr>
        <w:tblW w:w="49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7"/>
        <w:gridCol w:w="1422"/>
        <w:gridCol w:w="1426"/>
        <w:gridCol w:w="1426"/>
        <w:gridCol w:w="838"/>
        <w:gridCol w:w="713"/>
        <w:gridCol w:w="713"/>
        <w:gridCol w:w="1956"/>
      </w:tblGrid>
      <w:tr w:rsidR="00A25219" w:rsidRPr="0077107C" w:rsidTr="00A25219">
        <w:trPr>
          <w:trHeight w:val="1319"/>
          <w:jc w:val="center"/>
        </w:trPr>
        <w:tc>
          <w:tcPr>
            <w:tcW w:w="711" w:type="pct"/>
            <w:vAlign w:val="center"/>
          </w:tcPr>
          <w:p w:rsidR="00A25219" w:rsidRPr="0077107C" w:rsidRDefault="00A25219" w:rsidP="00A25219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18" w:type="pct"/>
            <w:vAlign w:val="center"/>
          </w:tcPr>
          <w:p w:rsidR="00A25219" w:rsidRPr="0077107C" w:rsidRDefault="00A25219" w:rsidP="00A25219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2016 рік</w:t>
            </w:r>
          </w:p>
        </w:tc>
        <w:tc>
          <w:tcPr>
            <w:tcW w:w="720" w:type="pct"/>
            <w:vAlign w:val="center"/>
          </w:tcPr>
          <w:p w:rsidR="00A25219" w:rsidRPr="0077107C" w:rsidRDefault="00A25219" w:rsidP="00A25219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2017 рік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25219" w:rsidRPr="0077107C" w:rsidRDefault="00A25219" w:rsidP="00A25219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2018 рік</w:t>
            </w:r>
          </w:p>
        </w:tc>
        <w:tc>
          <w:tcPr>
            <w:tcW w:w="423" w:type="pct"/>
            <w:vAlign w:val="center"/>
          </w:tcPr>
          <w:p w:rsidR="00A25219" w:rsidRPr="0077107C" w:rsidRDefault="00A25219" w:rsidP="00A252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2019 рік</w:t>
            </w:r>
          </w:p>
        </w:tc>
        <w:tc>
          <w:tcPr>
            <w:tcW w:w="360" w:type="pct"/>
            <w:vAlign w:val="center"/>
          </w:tcPr>
          <w:p w:rsidR="00A25219" w:rsidRPr="008103BA" w:rsidRDefault="00A25219" w:rsidP="00A2521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ІІ етап (20__--20__ роки)</w:t>
            </w:r>
          </w:p>
        </w:tc>
        <w:tc>
          <w:tcPr>
            <w:tcW w:w="360" w:type="pct"/>
            <w:vAlign w:val="center"/>
          </w:tcPr>
          <w:p w:rsidR="00A25219" w:rsidRPr="008103BA" w:rsidRDefault="00A25219" w:rsidP="00A25219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ІІІ етап (20__--20__ роки)</w:t>
            </w:r>
          </w:p>
        </w:tc>
        <w:tc>
          <w:tcPr>
            <w:tcW w:w="988" w:type="pct"/>
            <w:vAlign w:val="center"/>
          </w:tcPr>
          <w:p w:rsidR="00A25219" w:rsidRPr="0077107C" w:rsidRDefault="00A25219" w:rsidP="00A25219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</w:t>
            </w:r>
            <w:r w:rsidRPr="0077107C">
              <w:rPr>
                <w:sz w:val="24"/>
                <w:szCs w:val="24"/>
                <w:lang w:val="uk-UA"/>
              </w:rPr>
              <w:t>сього витрат на виконання Програми</w:t>
            </w:r>
          </w:p>
        </w:tc>
      </w:tr>
      <w:tr w:rsidR="00AA6FC0" w:rsidRPr="0077107C" w:rsidTr="00A25219">
        <w:trPr>
          <w:trHeight w:val="70"/>
          <w:jc w:val="center"/>
        </w:trPr>
        <w:tc>
          <w:tcPr>
            <w:tcW w:w="711" w:type="pct"/>
            <w:vAlign w:val="center"/>
          </w:tcPr>
          <w:p w:rsidR="00AA6FC0" w:rsidRPr="0077107C" w:rsidRDefault="00AA6FC0" w:rsidP="00AA6FC0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18" w:type="pct"/>
            <w:vAlign w:val="center"/>
          </w:tcPr>
          <w:p w:rsidR="00AA6FC0" w:rsidRPr="0077107C" w:rsidRDefault="00AA6FC0" w:rsidP="00AA6FC0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20" w:type="pct"/>
            <w:vAlign w:val="center"/>
          </w:tcPr>
          <w:p w:rsidR="00AA6FC0" w:rsidRPr="0077107C" w:rsidRDefault="00AA6FC0" w:rsidP="00AA6FC0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AA6FC0" w:rsidRPr="0077107C" w:rsidRDefault="00A25219" w:rsidP="007710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23" w:type="pct"/>
            <w:vAlign w:val="center"/>
          </w:tcPr>
          <w:p w:rsidR="00AA6FC0" w:rsidRPr="0077107C" w:rsidRDefault="00A25219" w:rsidP="007710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360" w:type="pct"/>
            <w:vAlign w:val="center"/>
          </w:tcPr>
          <w:p w:rsidR="00AA6FC0" w:rsidRPr="0077107C" w:rsidRDefault="00A25219" w:rsidP="007710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60" w:type="pct"/>
            <w:vAlign w:val="center"/>
          </w:tcPr>
          <w:p w:rsidR="00AA6FC0" w:rsidRPr="0077107C" w:rsidRDefault="00A25219" w:rsidP="007710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88" w:type="pct"/>
            <w:vAlign w:val="center"/>
          </w:tcPr>
          <w:p w:rsidR="00AA6FC0" w:rsidRPr="0077107C" w:rsidRDefault="00A25219" w:rsidP="007710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  <w:tr w:rsidR="0077107C" w:rsidRPr="0077107C" w:rsidTr="00836024">
        <w:trPr>
          <w:trHeight w:val="132"/>
          <w:jc w:val="center"/>
        </w:trPr>
        <w:tc>
          <w:tcPr>
            <w:tcW w:w="711" w:type="pct"/>
            <w:vAlign w:val="center"/>
          </w:tcPr>
          <w:p w:rsidR="0077107C" w:rsidRPr="0077107C" w:rsidRDefault="0077107C" w:rsidP="0077107C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Обсяг ресурсів, усього,</w:t>
            </w:r>
          </w:p>
          <w:p w:rsidR="0077107C" w:rsidRPr="0077107C" w:rsidRDefault="0077107C" w:rsidP="0077107C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lastRenderedPageBreak/>
              <w:t>у тому числі: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77107C" w:rsidRPr="0077107C" w:rsidRDefault="0077107C" w:rsidP="0077107C">
            <w:pPr>
              <w:jc w:val="center"/>
              <w:rPr>
                <w:color w:val="000000"/>
                <w:sz w:val="24"/>
                <w:szCs w:val="24"/>
              </w:rPr>
            </w:pPr>
            <w:r w:rsidRPr="0077107C">
              <w:rPr>
                <w:color w:val="000000"/>
                <w:sz w:val="24"/>
                <w:szCs w:val="24"/>
              </w:rPr>
              <w:lastRenderedPageBreak/>
              <w:t>370 915,126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77107C" w:rsidRPr="0077107C" w:rsidRDefault="0077107C" w:rsidP="0077107C">
            <w:pPr>
              <w:jc w:val="center"/>
              <w:rPr>
                <w:color w:val="000000"/>
                <w:sz w:val="24"/>
                <w:szCs w:val="24"/>
              </w:rPr>
            </w:pPr>
            <w:r w:rsidRPr="0077107C">
              <w:rPr>
                <w:color w:val="000000"/>
                <w:sz w:val="24"/>
                <w:szCs w:val="24"/>
              </w:rPr>
              <w:t>758 770,305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77107C" w:rsidRPr="00977C8D" w:rsidRDefault="0077107C" w:rsidP="00977C8D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</w:rPr>
              <w:t>4</w:t>
            </w:r>
            <w:r w:rsidR="00977C8D">
              <w:rPr>
                <w:sz w:val="24"/>
                <w:szCs w:val="24"/>
                <w:lang w:val="uk-UA"/>
              </w:rPr>
              <w:t>72</w:t>
            </w:r>
            <w:r w:rsidRPr="0077107C">
              <w:rPr>
                <w:sz w:val="24"/>
                <w:szCs w:val="24"/>
              </w:rPr>
              <w:t xml:space="preserve"> </w:t>
            </w:r>
            <w:r w:rsidR="00977C8D">
              <w:rPr>
                <w:sz w:val="24"/>
                <w:szCs w:val="24"/>
                <w:lang w:val="uk-UA"/>
              </w:rPr>
              <w:t>214</w:t>
            </w:r>
            <w:r w:rsidRPr="0077107C">
              <w:rPr>
                <w:sz w:val="24"/>
                <w:szCs w:val="24"/>
              </w:rPr>
              <w:t>,</w:t>
            </w:r>
            <w:r w:rsidR="00977C8D">
              <w:rPr>
                <w:sz w:val="24"/>
                <w:szCs w:val="24"/>
                <w:lang w:val="uk-UA"/>
              </w:rPr>
              <w:t>067</w:t>
            </w:r>
          </w:p>
        </w:tc>
        <w:tc>
          <w:tcPr>
            <w:tcW w:w="423" w:type="pct"/>
            <w:vAlign w:val="center"/>
          </w:tcPr>
          <w:p w:rsidR="0077107C" w:rsidRPr="0077107C" w:rsidRDefault="00A25219" w:rsidP="007710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60" w:type="pct"/>
            <w:vAlign w:val="center"/>
          </w:tcPr>
          <w:p w:rsidR="0077107C" w:rsidRPr="0077107C" w:rsidRDefault="0077107C" w:rsidP="0077107C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60" w:type="pct"/>
            <w:vAlign w:val="center"/>
          </w:tcPr>
          <w:p w:rsidR="0077107C" w:rsidRPr="0077107C" w:rsidRDefault="0077107C" w:rsidP="0077107C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77107C" w:rsidRPr="00977C8D" w:rsidRDefault="0077107C" w:rsidP="00977C8D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</w:rPr>
              <w:t>1 6</w:t>
            </w:r>
            <w:r w:rsidR="00977C8D">
              <w:rPr>
                <w:sz w:val="24"/>
                <w:szCs w:val="24"/>
                <w:lang w:val="uk-UA"/>
              </w:rPr>
              <w:t>01</w:t>
            </w:r>
            <w:r w:rsidRPr="0077107C">
              <w:rPr>
                <w:sz w:val="24"/>
                <w:szCs w:val="24"/>
              </w:rPr>
              <w:t xml:space="preserve"> </w:t>
            </w:r>
            <w:r w:rsidR="00977C8D">
              <w:rPr>
                <w:sz w:val="24"/>
                <w:szCs w:val="24"/>
                <w:lang w:val="uk-UA"/>
              </w:rPr>
              <w:t>899</w:t>
            </w:r>
            <w:r w:rsidRPr="0077107C">
              <w:rPr>
                <w:sz w:val="24"/>
                <w:szCs w:val="24"/>
              </w:rPr>
              <w:t>,</w:t>
            </w:r>
            <w:r w:rsidR="00977C8D">
              <w:rPr>
                <w:sz w:val="24"/>
                <w:szCs w:val="24"/>
                <w:lang w:val="uk-UA"/>
              </w:rPr>
              <w:t>498</w:t>
            </w:r>
          </w:p>
        </w:tc>
      </w:tr>
      <w:tr w:rsidR="0077107C" w:rsidRPr="0077107C" w:rsidTr="00A25219">
        <w:trPr>
          <w:trHeight w:val="703"/>
          <w:jc w:val="center"/>
        </w:trPr>
        <w:tc>
          <w:tcPr>
            <w:tcW w:w="711" w:type="pct"/>
            <w:vAlign w:val="center"/>
          </w:tcPr>
          <w:p w:rsidR="0077107C" w:rsidRPr="0077107C" w:rsidRDefault="0077107C" w:rsidP="0077107C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lastRenderedPageBreak/>
              <w:t>державний бюджет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77107C" w:rsidRPr="0077107C" w:rsidRDefault="0077107C" w:rsidP="0077107C">
            <w:pPr>
              <w:jc w:val="center"/>
              <w:rPr>
                <w:color w:val="000000"/>
                <w:sz w:val="24"/>
                <w:szCs w:val="24"/>
              </w:rPr>
            </w:pPr>
            <w:r w:rsidRPr="0077107C">
              <w:rPr>
                <w:color w:val="000000"/>
                <w:sz w:val="24"/>
                <w:szCs w:val="24"/>
              </w:rPr>
              <w:t>121 052,850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77107C" w:rsidRPr="0077107C" w:rsidRDefault="0077107C" w:rsidP="0077107C">
            <w:pPr>
              <w:jc w:val="center"/>
              <w:rPr>
                <w:color w:val="000000"/>
                <w:sz w:val="24"/>
                <w:szCs w:val="24"/>
              </w:rPr>
            </w:pPr>
            <w:r w:rsidRPr="0077107C">
              <w:rPr>
                <w:color w:val="000000"/>
                <w:sz w:val="24"/>
                <w:szCs w:val="24"/>
              </w:rPr>
              <w:t>0,000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77107C" w:rsidRPr="0077107C" w:rsidRDefault="0077107C" w:rsidP="0077107C">
            <w:pPr>
              <w:jc w:val="center"/>
              <w:rPr>
                <w:sz w:val="24"/>
                <w:szCs w:val="24"/>
              </w:rPr>
            </w:pPr>
            <w:r w:rsidRPr="0077107C">
              <w:rPr>
                <w:sz w:val="24"/>
                <w:szCs w:val="24"/>
              </w:rPr>
              <w:t>10 000,000</w:t>
            </w:r>
          </w:p>
        </w:tc>
        <w:tc>
          <w:tcPr>
            <w:tcW w:w="423" w:type="pct"/>
            <w:vAlign w:val="center"/>
          </w:tcPr>
          <w:p w:rsidR="0077107C" w:rsidRPr="0077107C" w:rsidRDefault="00A25219" w:rsidP="007710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60" w:type="pct"/>
            <w:vAlign w:val="center"/>
          </w:tcPr>
          <w:p w:rsidR="0077107C" w:rsidRPr="0077107C" w:rsidRDefault="0077107C" w:rsidP="0077107C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60" w:type="pct"/>
            <w:vAlign w:val="center"/>
          </w:tcPr>
          <w:p w:rsidR="0077107C" w:rsidRPr="0077107C" w:rsidRDefault="0077107C" w:rsidP="0077107C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77107C" w:rsidRPr="0077107C" w:rsidRDefault="0077107C" w:rsidP="0077107C">
            <w:pPr>
              <w:jc w:val="center"/>
              <w:rPr>
                <w:sz w:val="24"/>
                <w:szCs w:val="24"/>
              </w:rPr>
            </w:pPr>
            <w:r w:rsidRPr="0077107C">
              <w:rPr>
                <w:sz w:val="24"/>
                <w:szCs w:val="24"/>
              </w:rPr>
              <w:t>131 052,850</w:t>
            </w:r>
          </w:p>
        </w:tc>
      </w:tr>
      <w:tr w:rsidR="0077107C" w:rsidRPr="0077107C" w:rsidTr="00A25219">
        <w:trPr>
          <w:trHeight w:val="699"/>
          <w:jc w:val="center"/>
        </w:trPr>
        <w:tc>
          <w:tcPr>
            <w:tcW w:w="711" w:type="pct"/>
            <w:vAlign w:val="center"/>
          </w:tcPr>
          <w:p w:rsidR="0077107C" w:rsidRPr="0077107C" w:rsidRDefault="0077107C" w:rsidP="0077107C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обласний бюджет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77107C" w:rsidRPr="0077107C" w:rsidRDefault="0077107C" w:rsidP="0077107C">
            <w:pPr>
              <w:jc w:val="center"/>
              <w:rPr>
                <w:color w:val="000000"/>
                <w:sz w:val="24"/>
                <w:szCs w:val="24"/>
              </w:rPr>
            </w:pPr>
            <w:r w:rsidRPr="0077107C">
              <w:rPr>
                <w:color w:val="000000"/>
                <w:sz w:val="24"/>
                <w:szCs w:val="24"/>
              </w:rPr>
              <w:t>194 906,547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77107C" w:rsidRPr="0077107C" w:rsidRDefault="0077107C" w:rsidP="0077107C">
            <w:pPr>
              <w:jc w:val="center"/>
              <w:rPr>
                <w:color w:val="000000"/>
                <w:sz w:val="24"/>
                <w:szCs w:val="24"/>
              </w:rPr>
            </w:pPr>
            <w:r w:rsidRPr="0077107C">
              <w:rPr>
                <w:color w:val="000000"/>
                <w:sz w:val="24"/>
                <w:szCs w:val="24"/>
              </w:rPr>
              <w:t>472 041,539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77107C" w:rsidRPr="00977C8D" w:rsidRDefault="0077107C" w:rsidP="00977C8D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</w:rPr>
              <w:t>37</w:t>
            </w:r>
            <w:r w:rsidR="00977C8D">
              <w:rPr>
                <w:sz w:val="24"/>
                <w:szCs w:val="24"/>
                <w:lang w:val="uk-UA"/>
              </w:rPr>
              <w:t>0</w:t>
            </w:r>
            <w:r w:rsidRPr="0077107C">
              <w:rPr>
                <w:sz w:val="24"/>
                <w:szCs w:val="24"/>
              </w:rPr>
              <w:t xml:space="preserve"> 4</w:t>
            </w:r>
            <w:r w:rsidR="00977C8D">
              <w:rPr>
                <w:sz w:val="24"/>
                <w:szCs w:val="24"/>
                <w:lang w:val="uk-UA"/>
              </w:rPr>
              <w:t>75</w:t>
            </w:r>
            <w:r w:rsidRPr="0077107C">
              <w:rPr>
                <w:sz w:val="24"/>
                <w:szCs w:val="24"/>
              </w:rPr>
              <w:t>,</w:t>
            </w:r>
            <w:r w:rsidR="00977C8D">
              <w:rPr>
                <w:sz w:val="24"/>
                <w:szCs w:val="24"/>
                <w:lang w:val="uk-UA"/>
              </w:rPr>
              <w:t>472</w:t>
            </w:r>
          </w:p>
        </w:tc>
        <w:tc>
          <w:tcPr>
            <w:tcW w:w="423" w:type="pct"/>
            <w:vAlign w:val="center"/>
          </w:tcPr>
          <w:p w:rsidR="0077107C" w:rsidRPr="0077107C" w:rsidRDefault="00A25219" w:rsidP="007710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60" w:type="pct"/>
            <w:vAlign w:val="center"/>
          </w:tcPr>
          <w:p w:rsidR="0077107C" w:rsidRPr="0077107C" w:rsidRDefault="0077107C" w:rsidP="0077107C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60" w:type="pct"/>
            <w:vAlign w:val="center"/>
          </w:tcPr>
          <w:p w:rsidR="0077107C" w:rsidRPr="0077107C" w:rsidRDefault="0077107C" w:rsidP="0077107C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77107C" w:rsidRPr="00977C8D" w:rsidRDefault="0077107C" w:rsidP="00977C8D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</w:rPr>
              <w:t>1 0</w:t>
            </w:r>
            <w:r w:rsidR="00977C8D">
              <w:rPr>
                <w:sz w:val="24"/>
                <w:szCs w:val="24"/>
                <w:lang w:val="uk-UA"/>
              </w:rPr>
              <w:t>37</w:t>
            </w:r>
            <w:r w:rsidRPr="0077107C">
              <w:rPr>
                <w:sz w:val="24"/>
                <w:szCs w:val="24"/>
              </w:rPr>
              <w:t xml:space="preserve"> </w:t>
            </w:r>
            <w:r w:rsidR="00977C8D">
              <w:rPr>
                <w:sz w:val="24"/>
                <w:szCs w:val="24"/>
                <w:lang w:val="uk-UA"/>
              </w:rPr>
              <w:t>423</w:t>
            </w:r>
            <w:r w:rsidRPr="0077107C">
              <w:rPr>
                <w:sz w:val="24"/>
                <w:szCs w:val="24"/>
              </w:rPr>
              <w:t>,</w:t>
            </w:r>
            <w:r w:rsidR="00977C8D">
              <w:rPr>
                <w:sz w:val="24"/>
                <w:szCs w:val="24"/>
                <w:lang w:val="uk-UA"/>
              </w:rPr>
              <w:t>558</w:t>
            </w:r>
          </w:p>
        </w:tc>
      </w:tr>
      <w:tr w:rsidR="0077107C" w:rsidRPr="0077107C" w:rsidTr="00A25219">
        <w:trPr>
          <w:trHeight w:val="173"/>
          <w:jc w:val="center"/>
        </w:trPr>
        <w:tc>
          <w:tcPr>
            <w:tcW w:w="711" w:type="pct"/>
            <w:vAlign w:val="center"/>
          </w:tcPr>
          <w:p w:rsidR="0077107C" w:rsidRPr="0077107C" w:rsidRDefault="0077107C" w:rsidP="0077107C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районні, міські (міст обласного значення), об’єднаних територіальних громад бюджети</w:t>
            </w:r>
          </w:p>
        </w:tc>
        <w:tc>
          <w:tcPr>
            <w:tcW w:w="718" w:type="pct"/>
            <w:shd w:val="clear" w:color="auto" w:fill="auto"/>
            <w:vAlign w:val="center"/>
          </w:tcPr>
          <w:p w:rsidR="0077107C" w:rsidRPr="0077107C" w:rsidRDefault="0077107C" w:rsidP="0077107C">
            <w:pPr>
              <w:jc w:val="center"/>
              <w:rPr>
                <w:color w:val="000000"/>
                <w:sz w:val="24"/>
                <w:szCs w:val="24"/>
              </w:rPr>
            </w:pPr>
            <w:r w:rsidRPr="0077107C">
              <w:rPr>
                <w:color w:val="000000"/>
                <w:sz w:val="24"/>
                <w:szCs w:val="24"/>
              </w:rPr>
              <w:t>54 955,729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77107C" w:rsidRPr="0077107C" w:rsidRDefault="0077107C" w:rsidP="0077107C">
            <w:pPr>
              <w:jc w:val="center"/>
              <w:rPr>
                <w:color w:val="000000"/>
                <w:sz w:val="24"/>
                <w:szCs w:val="24"/>
              </w:rPr>
            </w:pPr>
            <w:r w:rsidRPr="0077107C">
              <w:rPr>
                <w:color w:val="000000"/>
                <w:sz w:val="24"/>
                <w:szCs w:val="24"/>
              </w:rPr>
              <w:t>286 728,766</w:t>
            </w:r>
          </w:p>
        </w:tc>
        <w:tc>
          <w:tcPr>
            <w:tcW w:w="720" w:type="pct"/>
            <w:shd w:val="clear" w:color="auto" w:fill="auto"/>
            <w:vAlign w:val="center"/>
          </w:tcPr>
          <w:p w:rsidR="0077107C" w:rsidRPr="00977C8D" w:rsidRDefault="00977C8D" w:rsidP="00977C8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91</w:t>
            </w:r>
            <w:r w:rsidR="0077107C" w:rsidRPr="0077107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738</w:t>
            </w:r>
            <w:r w:rsidR="0077107C" w:rsidRPr="0077107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uk-UA"/>
              </w:rPr>
              <w:t>595</w:t>
            </w:r>
          </w:p>
        </w:tc>
        <w:tc>
          <w:tcPr>
            <w:tcW w:w="423" w:type="pct"/>
            <w:vAlign w:val="center"/>
          </w:tcPr>
          <w:p w:rsidR="0077107C" w:rsidRPr="0077107C" w:rsidRDefault="00A25219" w:rsidP="0077107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360" w:type="pct"/>
            <w:vAlign w:val="center"/>
          </w:tcPr>
          <w:p w:rsidR="0077107C" w:rsidRPr="0077107C" w:rsidRDefault="0077107C" w:rsidP="0077107C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60" w:type="pct"/>
            <w:vAlign w:val="center"/>
          </w:tcPr>
          <w:p w:rsidR="0077107C" w:rsidRPr="0077107C" w:rsidRDefault="0077107C" w:rsidP="0077107C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8" w:type="pct"/>
            <w:shd w:val="clear" w:color="auto" w:fill="auto"/>
            <w:vAlign w:val="center"/>
          </w:tcPr>
          <w:p w:rsidR="0077107C" w:rsidRPr="00977C8D" w:rsidRDefault="0077107C" w:rsidP="00977C8D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</w:rPr>
              <w:t>4</w:t>
            </w:r>
            <w:r w:rsidR="00977C8D">
              <w:rPr>
                <w:sz w:val="24"/>
                <w:szCs w:val="24"/>
                <w:lang w:val="uk-UA"/>
              </w:rPr>
              <w:t>33</w:t>
            </w:r>
            <w:r w:rsidRPr="0077107C">
              <w:rPr>
                <w:sz w:val="24"/>
                <w:szCs w:val="24"/>
              </w:rPr>
              <w:t xml:space="preserve"> </w:t>
            </w:r>
            <w:r w:rsidR="00977C8D">
              <w:rPr>
                <w:sz w:val="24"/>
                <w:szCs w:val="24"/>
                <w:lang w:val="uk-UA"/>
              </w:rPr>
              <w:t>423</w:t>
            </w:r>
            <w:r w:rsidRPr="0077107C">
              <w:rPr>
                <w:sz w:val="24"/>
                <w:szCs w:val="24"/>
              </w:rPr>
              <w:t>,</w:t>
            </w:r>
            <w:r w:rsidR="00977C8D">
              <w:rPr>
                <w:sz w:val="24"/>
                <w:szCs w:val="24"/>
                <w:lang w:val="uk-UA"/>
              </w:rPr>
              <w:t>090</w:t>
            </w:r>
          </w:p>
        </w:tc>
      </w:tr>
      <w:tr w:rsidR="00AA6FC0" w:rsidRPr="0077107C" w:rsidTr="00A25219">
        <w:trPr>
          <w:trHeight w:val="1179"/>
          <w:jc w:val="center"/>
        </w:trPr>
        <w:tc>
          <w:tcPr>
            <w:tcW w:w="711" w:type="pct"/>
            <w:vAlign w:val="center"/>
          </w:tcPr>
          <w:p w:rsidR="00AA6FC0" w:rsidRPr="0077107C" w:rsidRDefault="00AA6FC0" w:rsidP="00AA6FC0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бюджети сіл, селищ, міст районного значення</w:t>
            </w:r>
          </w:p>
        </w:tc>
        <w:tc>
          <w:tcPr>
            <w:tcW w:w="718" w:type="pct"/>
            <w:vAlign w:val="center"/>
          </w:tcPr>
          <w:p w:rsidR="00AA6FC0" w:rsidRPr="0077107C" w:rsidRDefault="00AA6FC0" w:rsidP="00AA6FC0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pct"/>
            <w:vAlign w:val="center"/>
          </w:tcPr>
          <w:p w:rsidR="00AA6FC0" w:rsidRPr="0077107C" w:rsidRDefault="00AA6FC0" w:rsidP="00AA6FC0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720" w:type="pct"/>
            <w:vAlign w:val="center"/>
          </w:tcPr>
          <w:p w:rsidR="00AA6FC0" w:rsidRPr="0077107C" w:rsidRDefault="00AA6FC0" w:rsidP="0077107C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423" w:type="pct"/>
            <w:vAlign w:val="center"/>
          </w:tcPr>
          <w:p w:rsidR="00AA6FC0" w:rsidRPr="0077107C" w:rsidRDefault="00AA6FC0" w:rsidP="0077107C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60" w:type="pct"/>
            <w:vAlign w:val="center"/>
          </w:tcPr>
          <w:p w:rsidR="00AA6FC0" w:rsidRPr="0077107C" w:rsidRDefault="00AA6FC0" w:rsidP="0077107C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360" w:type="pct"/>
            <w:vAlign w:val="center"/>
          </w:tcPr>
          <w:p w:rsidR="00AA6FC0" w:rsidRPr="0077107C" w:rsidRDefault="00AA6FC0" w:rsidP="0077107C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-</w:t>
            </w:r>
          </w:p>
        </w:tc>
        <w:tc>
          <w:tcPr>
            <w:tcW w:w="988" w:type="pct"/>
            <w:vAlign w:val="center"/>
          </w:tcPr>
          <w:p w:rsidR="00AA6FC0" w:rsidRPr="0077107C" w:rsidRDefault="00AA6FC0" w:rsidP="0077107C">
            <w:pPr>
              <w:jc w:val="center"/>
              <w:rPr>
                <w:sz w:val="24"/>
                <w:szCs w:val="24"/>
                <w:lang w:val="uk-UA"/>
              </w:rPr>
            </w:pPr>
            <w:r w:rsidRPr="0077107C">
              <w:rPr>
                <w:sz w:val="24"/>
                <w:szCs w:val="24"/>
                <w:lang w:val="uk-UA"/>
              </w:rPr>
              <w:t>-</w:t>
            </w:r>
          </w:p>
        </w:tc>
      </w:tr>
    </w:tbl>
    <w:p w:rsidR="00D67593" w:rsidRPr="00851BE0" w:rsidRDefault="00AA6FC0" w:rsidP="00761314">
      <w:pPr>
        <w:ind w:right="-284"/>
        <w:contextualSpacing/>
        <w:jc w:val="right"/>
        <w:rPr>
          <w:lang w:val="uk-UA"/>
        </w:rPr>
      </w:pPr>
      <w:r>
        <w:rPr>
          <w:lang w:val="uk-UA"/>
        </w:rPr>
        <w:t>»</w:t>
      </w:r>
    </w:p>
    <w:p w:rsidR="001D0414" w:rsidRDefault="00555D4C" w:rsidP="00074922">
      <w:pPr>
        <w:spacing w:after="160" w:line="259" w:lineRule="auto"/>
        <w:rPr>
          <w:lang w:val="uk-UA"/>
        </w:rPr>
      </w:pPr>
      <w:r w:rsidRPr="00851BE0">
        <w:rPr>
          <w:lang w:val="uk-UA"/>
        </w:rPr>
        <w:t>4</w:t>
      </w:r>
      <w:r w:rsidR="002F736A" w:rsidRPr="00851BE0">
        <w:rPr>
          <w:lang w:val="uk-UA"/>
        </w:rPr>
        <w:t xml:space="preserve">. Додаток 1.1 до Програми «Показники продукту Програми будівництва, реконструкції та ремонту об’єктів інфраструктури Київської області на </w:t>
      </w:r>
      <w:r w:rsidR="00DD3B17" w:rsidRPr="00851BE0">
        <w:rPr>
          <w:lang w:val="uk-UA"/>
        </w:rPr>
        <w:t xml:space="preserve">                 </w:t>
      </w:r>
      <w:r w:rsidR="002F736A" w:rsidRPr="00851BE0">
        <w:rPr>
          <w:lang w:val="uk-UA"/>
        </w:rPr>
        <w:t>2016-201</w:t>
      </w:r>
      <w:r w:rsidR="00977C8D">
        <w:rPr>
          <w:lang w:val="uk-UA"/>
        </w:rPr>
        <w:t>9</w:t>
      </w:r>
      <w:r w:rsidR="002F736A" w:rsidRPr="00851BE0">
        <w:rPr>
          <w:lang w:val="uk-UA"/>
        </w:rPr>
        <w:t xml:space="preserve"> </w:t>
      </w:r>
      <w:r w:rsidR="001D0414" w:rsidRPr="00851BE0">
        <w:rPr>
          <w:lang w:val="uk-UA"/>
        </w:rPr>
        <w:t>роки» викласти у такій редакції:</w:t>
      </w:r>
    </w:p>
    <w:p w:rsidR="002F736A" w:rsidRPr="00851BE0" w:rsidRDefault="00BC4507" w:rsidP="005432AF">
      <w:pPr>
        <w:contextualSpacing/>
        <w:jc w:val="right"/>
        <w:rPr>
          <w:lang w:val="uk-UA"/>
        </w:rPr>
      </w:pPr>
      <w:r>
        <w:rPr>
          <w:lang w:val="uk-UA"/>
        </w:rPr>
        <w:t>«</w:t>
      </w:r>
      <w:r w:rsidR="002F736A" w:rsidRPr="00851BE0">
        <w:rPr>
          <w:lang w:val="uk-UA"/>
        </w:rPr>
        <w:t>Додаток 1.1</w:t>
      </w:r>
    </w:p>
    <w:p w:rsidR="002F736A" w:rsidRPr="00851BE0" w:rsidRDefault="002F736A" w:rsidP="002F736A">
      <w:pPr>
        <w:contextualSpacing/>
        <w:jc w:val="right"/>
        <w:rPr>
          <w:lang w:val="uk-UA"/>
        </w:rPr>
      </w:pPr>
      <w:r w:rsidRPr="00851BE0">
        <w:rPr>
          <w:lang w:val="uk-UA"/>
        </w:rPr>
        <w:t>до Програми</w:t>
      </w:r>
    </w:p>
    <w:p w:rsidR="00074922" w:rsidRDefault="00074922" w:rsidP="002F736A">
      <w:pPr>
        <w:contextualSpacing/>
        <w:jc w:val="center"/>
        <w:rPr>
          <w:b/>
          <w:lang w:val="uk-UA"/>
        </w:rPr>
      </w:pPr>
    </w:p>
    <w:p w:rsidR="00074922" w:rsidRDefault="00074922" w:rsidP="002F736A">
      <w:pPr>
        <w:contextualSpacing/>
        <w:jc w:val="center"/>
        <w:rPr>
          <w:b/>
          <w:lang w:val="uk-UA"/>
        </w:rPr>
      </w:pPr>
    </w:p>
    <w:p w:rsidR="002F736A" w:rsidRPr="00851BE0" w:rsidRDefault="002F736A" w:rsidP="002F736A">
      <w:pPr>
        <w:contextualSpacing/>
        <w:jc w:val="center"/>
        <w:rPr>
          <w:b/>
          <w:lang w:val="uk-UA"/>
        </w:rPr>
      </w:pPr>
      <w:r w:rsidRPr="00851BE0">
        <w:rPr>
          <w:b/>
          <w:lang w:val="uk-UA"/>
        </w:rPr>
        <w:t>Показники продукту Програми</w:t>
      </w:r>
    </w:p>
    <w:p w:rsidR="009C0072" w:rsidRDefault="002F736A" w:rsidP="009C0072">
      <w:pPr>
        <w:jc w:val="center"/>
        <w:rPr>
          <w:b/>
          <w:lang w:val="uk-UA"/>
        </w:rPr>
      </w:pPr>
      <w:r w:rsidRPr="00851BE0">
        <w:rPr>
          <w:b/>
          <w:lang w:val="uk-UA"/>
        </w:rPr>
        <w:t>будівництва, реконструкції та ремонту об’єктів</w:t>
      </w:r>
      <w:r w:rsidR="001E75AE" w:rsidRPr="00851BE0">
        <w:rPr>
          <w:lang w:val="uk-UA"/>
        </w:rPr>
        <w:t xml:space="preserve"> </w:t>
      </w:r>
      <w:r w:rsidR="001E75AE" w:rsidRPr="00851BE0">
        <w:rPr>
          <w:b/>
          <w:lang w:val="uk-UA"/>
        </w:rPr>
        <w:t>інфраструктури Київської області на 2016-201</w:t>
      </w:r>
      <w:r w:rsidR="00977C8D">
        <w:rPr>
          <w:b/>
          <w:lang w:val="uk-UA"/>
        </w:rPr>
        <w:t>9</w:t>
      </w:r>
      <w:r w:rsidR="001E75AE" w:rsidRPr="00851BE0">
        <w:rPr>
          <w:b/>
          <w:lang w:val="uk-UA"/>
        </w:rPr>
        <w:t xml:space="preserve"> роки</w:t>
      </w:r>
    </w:p>
    <w:p w:rsidR="00AA6FC0" w:rsidRDefault="00AA6FC0" w:rsidP="009C0072">
      <w:pPr>
        <w:jc w:val="center"/>
        <w:rPr>
          <w:b/>
          <w:lang w:val="uk-UA"/>
        </w:rPr>
      </w:pPr>
    </w:p>
    <w:tbl>
      <w:tblPr>
        <w:tblW w:w="10196" w:type="dxa"/>
        <w:tblLayout w:type="fixed"/>
        <w:tblLook w:val="04A0" w:firstRow="1" w:lastRow="0" w:firstColumn="1" w:lastColumn="0" w:noHBand="0" w:noVBand="1"/>
      </w:tblPr>
      <w:tblGrid>
        <w:gridCol w:w="557"/>
        <w:gridCol w:w="1985"/>
        <w:gridCol w:w="709"/>
        <w:gridCol w:w="992"/>
        <w:gridCol w:w="850"/>
        <w:gridCol w:w="709"/>
        <w:gridCol w:w="708"/>
        <w:gridCol w:w="709"/>
        <w:gridCol w:w="709"/>
        <w:gridCol w:w="767"/>
        <w:gridCol w:w="1501"/>
      </w:tblGrid>
      <w:tr w:rsidR="008103BA" w:rsidRPr="008103BA" w:rsidTr="008103BA">
        <w:trPr>
          <w:trHeight w:val="315"/>
        </w:trPr>
        <w:tc>
          <w:tcPr>
            <w:tcW w:w="5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Назва показника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Вихідні дані на початок дії програми</w:t>
            </w:r>
          </w:p>
        </w:tc>
        <w:tc>
          <w:tcPr>
            <w:tcW w:w="297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 етап виконання програми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ІІ етап (20__--20__ роки)</w:t>
            </w:r>
          </w:p>
        </w:tc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ІІІ етап (20__--20__ роки)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Всього витрат на виконання програми</w:t>
            </w:r>
          </w:p>
        </w:tc>
      </w:tr>
      <w:tr w:rsidR="008103BA" w:rsidRPr="008103BA" w:rsidTr="008103BA">
        <w:trPr>
          <w:trHeight w:val="1080"/>
        </w:trPr>
        <w:tc>
          <w:tcPr>
            <w:tcW w:w="5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3BA" w:rsidRPr="008103BA" w:rsidRDefault="008103BA" w:rsidP="008103BA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3BA" w:rsidRPr="008103BA" w:rsidRDefault="008103BA" w:rsidP="008103BA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3BA" w:rsidRPr="008103BA" w:rsidRDefault="008103BA" w:rsidP="008103BA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3BA" w:rsidRPr="008103BA" w:rsidRDefault="008103BA" w:rsidP="008103BA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2016 рік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2017 рік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2018 рік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2019 рік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3BA" w:rsidRPr="008103BA" w:rsidRDefault="008103BA" w:rsidP="008103BA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3BA" w:rsidRPr="008103BA" w:rsidRDefault="008103BA" w:rsidP="008103BA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03BA" w:rsidRPr="008103BA" w:rsidRDefault="008103BA" w:rsidP="008103BA">
            <w:pPr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8103BA" w:rsidRPr="008103BA" w:rsidTr="008103BA">
        <w:trPr>
          <w:trHeight w:val="33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11</w:t>
            </w:r>
          </w:p>
        </w:tc>
      </w:tr>
      <w:tr w:rsidR="008103BA" w:rsidRPr="008103BA" w:rsidTr="008103BA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both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Показники продукту програми</w:t>
            </w:r>
          </w:p>
        </w:tc>
      </w:tr>
      <w:tr w:rsidR="008103BA" w:rsidRPr="008103BA" w:rsidTr="00836024">
        <w:trPr>
          <w:trHeight w:val="26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Кількість закладів освіти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482 261,952</w:t>
            </w:r>
          </w:p>
        </w:tc>
      </w:tr>
      <w:tr w:rsidR="008103BA" w:rsidRPr="008103BA" w:rsidTr="00836024">
        <w:trPr>
          <w:trHeight w:val="20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Кількість закладів охорони здоров'я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76 327,246</w:t>
            </w:r>
          </w:p>
        </w:tc>
      </w:tr>
      <w:tr w:rsidR="008103BA" w:rsidRPr="008103BA" w:rsidTr="00836024">
        <w:trPr>
          <w:trHeight w:val="29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Кількість будинків культури, музеїв, спортивних споруд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161 620,035</w:t>
            </w:r>
          </w:p>
        </w:tc>
      </w:tr>
      <w:tr w:rsidR="008103BA" w:rsidRPr="008103BA" w:rsidTr="00074922">
        <w:trPr>
          <w:trHeight w:val="1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Кількість об’єктів дорожнього господарства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211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530 054,150</w:t>
            </w:r>
          </w:p>
        </w:tc>
      </w:tr>
      <w:tr w:rsidR="008103BA" w:rsidRPr="008103BA" w:rsidTr="00074922">
        <w:trPr>
          <w:trHeight w:val="303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5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Кількість об'єктів житлово-комунального господарства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70 964,748</w:t>
            </w:r>
          </w:p>
        </w:tc>
      </w:tr>
      <w:tr w:rsidR="008103BA" w:rsidRPr="008103BA" w:rsidTr="00074922">
        <w:trPr>
          <w:trHeight w:val="217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 xml:space="preserve">Виготовлення проектно-кошторисної документації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6 175,197</w:t>
            </w:r>
          </w:p>
        </w:tc>
      </w:tr>
      <w:tr w:rsidR="008103BA" w:rsidRPr="008103BA" w:rsidTr="00836024">
        <w:trPr>
          <w:trHeight w:val="26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Кількість інвестиційних програм і проектів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36 861,109</w:t>
            </w:r>
          </w:p>
        </w:tc>
      </w:tr>
      <w:tr w:rsidR="008103BA" w:rsidRPr="008103BA" w:rsidTr="00074922">
        <w:trPr>
          <w:trHeight w:val="139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 xml:space="preserve">Кількість проектів регіонального розвитку, які фінансуються за рахунок </w:t>
            </w:r>
            <w:proofErr w:type="spellStart"/>
            <w:r w:rsidRPr="008103BA">
              <w:rPr>
                <w:color w:val="000000"/>
                <w:sz w:val="20"/>
                <w:szCs w:val="20"/>
                <w:lang w:val="uk-UA" w:eastAsia="uk-UA"/>
              </w:rPr>
              <w:t>співфінансування</w:t>
            </w:r>
            <w:proofErr w:type="spellEnd"/>
            <w:r w:rsidRPr="008103BA">
              <w:rPr>
                <w:color w:val="000000"/>
                <w:sz w:val="20"/>
                <w:szCs w:val="20"/>
                <w:lang w:val="uk-UA" w:eastAsia="uk-UA"/>
              </w:rPr>
              <w:t xml:space="preserve"> з відповідних місцевих бюджетів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192 639,182</w:t>
            </w:r>
          </w:p>
        </w:tc>
      </w:tr>
      <w:tr w:rsidR="008103BA" w:rsidRPr="008103BA" w:rsidTr="00074922">
        <w:trPr>
          <w:trHeight w:val="472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Кількість об’єктів, що фінансуються за рахунок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34 946,800</w:t>
            </w:r>
          </w:p>
        </w:tc>
      </w:tr>
      <w:tr w:rsidR="008103BA" w:rsidRPr="008103BA" w:rsidTr="00074922">
        <w:trPr>
          <w:trHeight w:val="2310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 xml:space="preserve">Кількість об’єктів, що фінансуються за рахунок </w:t>
            </w:r>
            <w:proofErr w:type="spellStart"/>
            <w:r w:rsidRPr="008103BA">
              <w:rPr>
                <w:color w:val="000000"/>
                <w:sz w:val="20"/>
                <w:szCs w:val="20"/>
                <w:lang w:val="uk-UA" w:eastAsia="uk-UA"/>
              </w:rPr>
              <w:t>співфінансування</w:t>
            </w:r>
            <w:proofErr w:type="spellEnd"/>
            <w:r w:rsidRPr="008103BA">
              <w:rPr>
                <w:color w:val="000000"/>
                <w:sz w:val="20"/>
                <w:szCs w:val="20"/>
                <w:lang w:val="uk-UA" w:eastAsia="uk-UA"/>
              </w:rPr>
              <w:t xml:space="preserve"> з відповідних місцевих бюджетів на здійснення заходів за бюджетною програмою 3131090 у 2018 році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10 049,079</w:t>
            </w:r>
          </w:p>
        </w:tc>
      </w:tr>
      <w:tr w:rsidR="008103BA" w:rsidRPr="008103BA" w:rsidTr="00836024">
        <w:trPr>
          <w:trHeight w:val="42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Загальна кількість об’єктів Програми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307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1 601 899,498</w:t>
            </w:r>
          </w:p>
        </w:tc>
      </w:tr>
      <w:tr w:rsidR="008103BA" w:rsidRPr="008103BA" w:rsidTr="008103BA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both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ІІ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Показники ефективності програми</w:t>
            </w:r>
          </w:p>
        </w:tc>
      </w:tr>
      <w:tr w:rsidR="008103BA" w:rsidRPr="008103BA" w:rsidTr="008103BA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Питома вага закладів освіти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482 261,952</w:t>
            </w:r>
          </w:p>
        </w:tc>
      </w:tr>
      <w:tr w:rsidR="008103BA" w:rsidRPr="008103BA" w:rsidTr="008103BA">
        <w:trPr>
          <w:trHeight w:val="6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Питома вага закладів охорони здоров'я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76 327,246</w:t>
            </w:r>
          </w:p>
        </w:tc>
      </w:tr>
      <w:tr w:rsidR="008103BA" w:rsidRPr="008103BA" w:rsidTr="00836024">
        <w:trPr>
          <w:trHeight w:val="40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Питома вага будинків культури, музеїв, спортивних споруд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161 620,035</w:t>
            </w:r>
          </w:p>
        </w:tc>
      </w:tr>
      <w:tr w:rsidR="008103BA" w:rsidRPr="008103BA" w:rsidTr="00836024">
        <w:trPr>
          <w:trHeight w:val="44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Питома вага об’єктів дорожнього господарства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54,9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68,7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530 054,150</w:t>
            </w:r>
          </w:p>
        </w:tc>
      </w:tr>
      <w:tr w:rsidR="008103BA" w:rsidRPr="008103BA" w:rsidTr="00074922">
        <w:trPr>
          <w:trHeight w:val="31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Питома вага об'єктів житлово-комунального господарства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70 964,748</w:t>
            </w:r>
          </w:p>
        </w:tc>
      </w:tr>
      <w:tr w:rsidR="008103BA" w:rsidRPr="008103BA" w:rsidTr="00074922">
        <w:trPr>
          <w:trHeight w:val="77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 xml:space="preserve">Питома вага проектно-кошторисної документації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6 175,197</w:t>
            </w:r>
          </w:p>
        </w:tc>
      </w:tr>
      <w:tr w:rsidR="008103BA" w:rsidRPr="008103BA" w:rsidTr="00836024">
        <w:trPr>
          <w:trHeight w:val="26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Питома вага інвестиційних програм і проектів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36 861,109</w:t>
            </w:r>
          </w:p>
        </w:tc>
      </w:tr>
      <w:tr w:rsidR="008103BA" w:rsidRPr="008103BA" w:rsidTr="00836024">
        <w:trPr>
          <w:trHeight w:val="1679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 xml:space="preserve">Питома вага  проектів регіонального розвитку, які фінансуються за рахунок </w:t>
            </w:r>
            <w:proofErr w:type="spellStart"/>
            <w:r w:rsidRPr="008103BA">
              <w:rPr>
                <w:color w:val="000000"/>
                <w:sz w:val="20"/>
                <w:szCs w:val="20"/>
                <w:lang w:val="uk-UA" w:eastAsia="uk-UA"/>
              </w:rPr>
              <w:t>співфінансування</w:t>
            </w:r>
            <w:proofErr w:type="spellEnd"/>
            <w:r w:rsidRPr="008103BA">
              <w:rPr>
                <w:color w:val="000000"/>
                <w:sz w:val="20"/>
                <w:szCs w:val="20"/>
                <w:lang w:val="uk-UA" w:eastAsia="uk-UA"/>
              </w:rPr>
              <w:t xml:space="preserve"> з відповідних місцевих бюджетів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6,2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192 639,182</w:t>
            </w:r>
          </w:p>
        </w:tc>
      </w:tr>
      <w:tr w:rsidR="008103BA" w:rsidRPr="008103BA" w:rsidTr="00074922">
        <w:trPr>
          <w:trHeight w:val="2432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Питома вага об’єктів, що фінансуються за рахунок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34 946,800</w:t>
            </w:r>
          </w:p>
        </w:tc>
      </w:tr>
      <w:tr w:rsidR="008103BA" w:rsidRPr="008103BA" w:rsidTr="00074922">
        <w:trPr>
          <w:trHeight w:val="2106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 xml:space="preserve">Питома вага об’єктів, що фінансуються за рахунок </w:t>
            </w:r>
            <w:proofErr w:type="spellStart"/>
            <w:r w:rsidRPr="008103BA">
              <w:rPr>
                <w:color w:val="000000"/>
                <w:sz w:val="20"/>
                <w:szCs w:val="20"/>
                <w:lang w:val="uk-UA" w:eastAsia="uk-UA"/>
              </w:rPr>
              <w:t>співфінансування</w:t>
            </w:r>
            <w:proofErr w:type="spellEnd"/>
            <w:r w:rsidRPr="008103BA">
              <w:rPr>
                <w:color w:val="000000"/>
                <w:sz w:val="20"/>
                <w:szCs w:val="20"/>
                <w:lang w:val="uk-UA" w:eastAsia="uk-UA"/>
              </w:rPr>
              <w:t xml:space="preserve"> з відповідних місцевих бюджетів на здійснення заходів за бюджетною програмою 3131090 у 2018 році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10 049,079</w:t>
            </w:r>
          </w:p>
        </w:tc>
      </w:tr>
      <w:tr w:rsidR="008103BA" w:rsidRPr="008103BA" w:rsidTr="008103BA">
        <w:trPr>
          <w:trHeight w:val="12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Вкладено коштів  державного бюджету  у розрахунку на 1 об’єкт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4 683,808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103BA" w:rsidRPr="008103BA" w:rsidTr="00836024">
        <w:trPr>
          <w:trHeight w:val="801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Вкладено коштів  обласного  бюджету  у розрахунку на 1 об’єкт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тис. грн</w:t>
            </w:r>
          </w:p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1 134,060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1 071,359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103BA" w:rsidRPr="008103BA" w:rsidTr="00836024">
        <w:trPr>
          <w:trHeight w:val="714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Вкладено коштів інших місцевих  бюджетів у розрахунку на 1 об’єкт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тис. грн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277,327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459,283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</w:tr>
      <w:tr w:rsidR="008103BA" w:rsidRPr="008103BA" w:rsidTr="008103BA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both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ІІІ</w:t>
            </w:r>
          </w:p>
        </w:tc>
        <w:tc>
          <w:tcPr>
            <w:tcW w:w="9639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b/>
                <w:bCs/>
                <w:color w:val="000000"/>
                <w:sz w:val="20"/>
                <w:szCs w:val="20"/>
                <w:lang w:val="uk-UA" w:eastAsia="uk-UA"/>
              </w:rPr>
              <w:t>Показники якості програми</w:t>
            </w:r>
          </w:p>
        </w:tc>
      </w:tr>
      <w:tr w:rsidR="008103BA" w:rsidRPr="008103BA" w:rsidTr="00836024">
        <w:trPr>
          <w:trHeight w:val="340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Кількість завершених закладів освіти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482 261,952</w:t>
            </w:r>
          </w:p>
        </w:tc>
      </w:tr>
      <w:tr w:rsidR="008103BA" w:rsidRPr="008103BA" w:rsidTr="00074922">
        <w:trPr>
          <w:trHeight w:val="207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Кількість завершених закладів охорони здоров'я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76 327,246</w:t>
            </w:r>
          </w:p>
        </w:tc>
      </w:tr>
      <w:tr w:rsidR="008103BA" w:rsidRPr="008103BA" w:rsidTr="00074922">
        <w:trPr>
          <w:trHeight w:val="614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Кількість завершених будинків культури, музеїв, спортивних споруд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161 620,035</w:t>
            </w:r>
          </w:p>
        </w:tc>
      </w:tr>
      <w:tr w:rsidR="008103BA" w:rsidRPr="008103BA" w:rsidTr="008103BA">
        <w:trPr>
          <w:trHeight w:val="9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Кількість завершених об’єктів дорожнього господарства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530 054,150</w:t>
            </w:r>
          </w:p>
        </w:tc>
      </w:tr>
      <w:tr w:rsidR="008103BA" w:rsidRPr="008103BA" w:rsidTr="00836024">
        <w:trPr>
          <w:trHeight w:val="786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Кількість завершених об'єктів житлово-комунального господарства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70 964,748</w:t>
            </w:r>
          </w:p>
        </w:tc>
      </w:tr>
      <w:tr w:rsidR="008103BA" w:rsidRPr="008103BA" w:rsidTr="008103BA">
        <w:trPr>
          <w:trHeight w:val="9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Виготовлена проектно-кошторисна документація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6 175,197</w:t>
            </w:r>
          </w:p>
        </w:tc>
      </w:tr>
      <w:tr w:rsidR="008103BA" w:rsidRPr="008103BA" w:rsidTr="00074922">
        <w:trPr>
          <w:trHeight w:val="9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Кількість завершених інвестиційних програм і проектів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36 861,109</w:t>
            </w:r>
          </w:p>
        </w:tc>
      </w:tr>
      <w:tr w:rsidR="008103BA" w:rsidRPr="008103BA" w:rsidTr="00074922">
        <w:trPr>
          <w:trHeight w:val="121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 xml:space="preserve">Кількість завершених  проектів регіонального розвитку, які фінансуються за рахунок </w:t>
            </w:r>
            <w:proofErr w:type="spellStart"/>
            <w:r w:rsidRPr="008103BA">
              <w:rPr>
                <w:color w:val="000000"/>
                <w:sz w:val="20"/>
                <w:szCs w:val="20"/>
                <w:lang w:val="uk-UA" w:eastAsia="uk-UA"/>
              </w:rPr>
              <w:t>співфінансування</w:t>
            </w:r>
            <w:proofErr w:type="spellEnd"/>
            <w:r w:rsidRPr="008103BA">
              <w:rPr>
                <w:color w:val="000000"/>
                <w:sz w:val="20"/>
                <w:szCs w:val="20"/>
                <w:lang w:val="uk-UA" w:eastAsia="uk-UA"/>
              </w:rPr>
              <w:t xml:space="preserve"> з відповідних місцевих бюджетів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192 639,182</w:t>
            </w:r>
          </w:p>
        </w:tc>
      </w:tr>
      <w:tr w:rsidR="008103BA" w:rsidRPr="008103BA" w:rsidTr="00074922">
        <w:trPr>
          <w:trHeight w:val="33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Кількість завершених об’єктів, що фінансуються за рахунок субвенції з державного бюджету місцевим бюджетам на здійснення заходів щодо соціально-економічного розвитку окремих територій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34 946,800</w:t>
            </w:r>
          </w:p>
        </w:tc>
      </w:tr>
      <w:tr w:rsidR="008103BA" w:rsidRPr="008103BA" w:rsidTr="00074922">
        <w:trPr>
          <w:trHeight w:val="3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 xml:space="preserve">Кількість завершених об’єктів, що фінансуються за рахунок </w:t>
            </w:r>
            <w:proofErr w:type="spellStart"/>
            <w:r w:rsidRPr="008103BA">
              <w:rPr>
                <w:color w:val="000000"/>
                <w:sz w:val="22"/>
                <w:szCs w:val="22"/>
                <w:lang w:val="uk-UA" w:eastAsia="uk-UA"/>
              </w:rPr>
              <w:t>співфінансування</w:t>
            </w:r>
            <w:proofErr w:type="spellEnd"/>
            <w:r w:rsidRPr="008103BA">
              <w:rPr>
                <w:color w:val="000000"/>
                <w:sz w:val="22"/>
                <w:szCs w:val="22"/>
                <w:lang w:val="uk-UA" w:eastAsia="uk-UA"/>
              </w:rPr>
              <w:t xml:space="preserve"> з відповідних місцевих бюджетів на здійснення заходів за бюджетною програмою 3131090 у 2018 році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r w:rsidRPr="008103BA">
              <w:rPr>
                <w:color w:val="000000"/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10 049,079</w:t>
            </w:r>
          </w:p>
        </w:tc>
      </w:tr>
      <w:tr w:rsidR="008103BA" w:rsidRPr="008103BA" w:rsidTr="00074922">
        <w:trPr>
          <w:trHeight w:val="915"/>
        </w:trPr>
        <w:tc>
          <w:tcPr>
            <w:tcW w:w="5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lastRenderedPageBreak/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Загальна кількість завершених об’єктів Програми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од.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120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103BA" w:rsidRPr="008103BA" w:rsidRDefault="008103BA" w:rsidP="008103BA">
            <w:pPr>
              <w:jc w:val="center"/>
              <w:rPr>
                <w:color w:val="000000"/>
                <w:sz w:val="22"/>
                <w:szCs w:val="22"/>
                <w:lang w:val="uk-UA" w:eastAsia="uk-UA"/>
              </w:rPr>
            </w:pPr>
            <w:r w:rsidRPr="008103BA">
              <w:rPr>
                <w:color w:val="000000"/>
                <w:sz w:val="22"/>
                <w:szCs w:val="22"/>
                <w:lang w:val="uk-UA" w:eastAsia="uk-UA"/>
              </w:rPr>
              <w:t>1 601 899,498</w:t>
            </w:r>
          </w:p>
        </w:tc>
      </w:tr>
    </w:tbl>
    <w:p w:rsidR="007377FF" w:rsidRPr="00FD6F87" w:rsidRDefault="00AA6FC0" w:rsidP="00836024">
      <w:pPr>
        <w:ind w:right="-284"/>
        <w:contextualSpacing/>
        <w:jc w:val="right"/>
        <w:rPr>
          <w:lang w:val="uk-UA"/>
        </w:rPr>
      </w:pPr>
      <w:r>
        <w:rPr>
          <w:lang w:val="uk-UA"/>
        </w:rPr>
        <w:t>»</w:t>
      </w:r>
      <w:r w:rsidR="007C33E6" w:rsidRPr="002426BE">
        <w:rPr>
          <w:lang w:val="uk-UA"/>
        </w:rPr>
        <w:t xml:space="preserve">. </w:t>
      </w:r>
    </w:p>
    <w:p w:rsidR="00074922" w:rsidRDefault="00074922" w:rsidP="00F07C4C">
      <w:pPr>
        <w:ind w:firstLine="709"/>
        <w:contextualSpacing/>
        <w:jc w:val="both"/>
        <w:rPr>
          <w:lang w:val="uk-UA"/>
        </w:rPr>
      </w:pPr>
    </w:p>
    <w:p w:rsidR="00F07C4C" w:rsidRPr="00851BE0" w:rsidRDefault="00836024" w:rsidP="00F07C4C">
      <w:pPr>
        <w:ind w:firstLine="709"/>
        <w:contextualSpacing/>
        <w:jc w:val="both"/>
        <w:rPr>
          <w:lang w:val="uk-UA"/>
        </w:rPr>
      </w:pPr>
      <w:r>
        <w:rPr>
          <w:lang w:val="uk-UA"/>
        </w:rPr>
        <w:t>5</w:t>
      </w:r>
      <w:r w:rsidR="00D53EBA">
        <w:rPr>
          <w:lang w:val="uk-UA"/>
        </w:rPr>
        <w:t xml:space="preserve">. </w:t>
      </w:r>
      <w:r w:rsidR="00402F03" w:rsidRPr="002426BE">
        <w:rPr>
          <w:lang w:val="uk-UA"/>
        </w:rPr>
        <w:t>Д</w:t>
      </w:r>
      <w:r w:rsidR="00F07C4C" w:rsidRPr="002426BE">
        <w:rPr>
          <w:lang w:val="uk-UA"/>
        </w:rPr>
        <w:t>одат</w:t>
      </w:r>
      <w:r w:rsidR="00402F03" w:rsidRPr="002426BE">
        <w:rPr>
          <w:lang w:val="uk-UA"/>
        </w:rPr>
        <w:t>о</w:t>
      </w:r>
      <w:r w:rsidR="00F07C4C" w:rsidRPr="002426BE">
        <w:rPr>
          <w:lang w:val="uk-UA"/>
        </w:rPr>
        <w:t>к 7 до Програми «Напрями діяльності та заходи Програми будівництва, реконструкції та ремонту об’єктів інфраструктури Київської області</w:t>
      </w:r>
      <w:r w:rsidR="00F07C4C" w:rsidRPr="00851BE0">
        <w:rPr>
          <w:lang w:val="uk-UA"/>
        </w:rPr>
        <w:t xml:space="preserve"> на 2018 рік» викласти у </w:t>
      </w:r>
      <w:r w:rsidR="00B22A3A" w:rsidRPr="00851BE0">
        <w:rPr>
          <w:lang w:val="uk-UA"/>
        </w:rPr>
        <w:t>новій</w:t>
      </w:r>
      <w:r w:rsidR="00572A65" w:rsidRPr="00851BE0">
        <w:rPr>
          <w:lang w:val="uk-UA"/>
        </w:rPr>
        <w:t xml:space="preserve"> </w:t>
      </w:r>
      <w:r w:rsidR="00F07C4C" w:rsidRPr="00851BE0">
        <w:rPr>
          <w:lang w:val="uk-UA"/>
        </w:rPr>
        <w:t>редакції</w:t>
      </w:r>
      <w:r w:rsidR="0045330A" w:rsidRPr="00851BE0">
        <w:rPr>
          <w:lang w:val="uk-UA"/>
        </w:rPr>
        <w:t>, що додається.</w:t>
      </w:r>
    </w:p>
    <w:p w:rsidR="00EE237A" w:rsidRPr="00851BE0" w:rsidRDefault="00EE237A" w:rsidP="00F07C4C">
      <w:pPr>
        <w:ind w:firstLine="709"/>
        <w:contextualSpacing/>
        <w:jc w:val="both"/>
        <w:rPr>
          <w:lang w:val="uk-UA"/>
        </w:rPr>
      </w:pPr>
    </w:p>
    <w:p w:rsidR="00D53EBA" w:rsidRDefault="00836024" w:rsidP="00F07C4C">
      <w:pPr>
        <w:ind w:firstLine="709"/>
        <w:contextualSpacing/>
        <w:jc w:val="both"/>
        <w:rPr>
          <w:lang w:val="uk-UA"/>
        </w:rPr>
      </w:pPr>
      <w:r>
        <w:rPr>
          <w:lang w:val="uk-UA"/>
        </w:rPr>
        <w:t>6</w:t>
      </w:r>
      <w:r w:rsidR="0073159C" w:rsidRPr="00851BE0">
        <w:rPr>
          <w:lang w:val="uk-UA"/>
        </w:rPr>
        <w:t xml:space="preserve">. В Додатку </w:t>
      </w:r>
      <w:r w:rsidR="008103BA">
        <w:rPr>
          <w:lang w:val="uk-UA"/>
        </w:rPr>
        <w:t>10</w:t>
      </w:r>
      <w:r w:rsidR="0073159C" w:rsidRPr="00851BE0">
        <w:rPr>
          <w:lang w:val="uk-UA"/>
        </w:rPr>
        <w:t xml:space="preserve"> до Програми «</w:t>
      </w:r>
      <w:r w:rsidR="008103BA" w:rsidRPr="00851BE0">
        <w:rPr>
          <w:lang w:val="uk-UA"/>
        </w:rPr>
        <w:t xml:space="preserve">Перелік об’єктів будівництва,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 власності у населених пунктах, що реалізуються за рахунок </w:t>
      </w:r>
      <w:proofErr w:type="spellStart"/>
      <w:r w:rsidR="008103BA" w:rsidRPr="00851BE0">
        <w:rPr>
          <w:lang w:val="uk-UA"/>
        </w:rPr>
        <w:t>співфінансування</w:t>
      </w:r>
      <w:proofErr w:type="spellEnd"/>
      <w:r w:rsidR="008103BA" w:rsidRPr="00851BE0">
        <w:rPr>
          <w:lang w:val="uk-UA"/>
        </w:rPr>
        <w:t xml:space="preserve"> з відповідних місцевих бюджетів за бюджетною програмою 3131090 у 2018 році</w:t>
      </w:r>
      <w:r w:rsidR="00D53EBA">
        <w:rPr>
          <w:lang w:val="uk-UA"/>
        </w:rPr>
        <w:t>»:</w:t>
      </w:r>
    </w:p>
    <w:p w:rsidR="00D53EBA" w:rsidRDefault="00D53EBA" w:rsidP="00F07C4C">
      <w:pPr>
        <w:ind w:firstLine="709"/>
        <w:contextualSpacing/>
        <w:jc w:val="both"/>
        <w:rPr>
          <w:lang w:val="uk-UA"/>
        </w:rPr>
      </w:pPr>
    </w:p>
    <w:p w:rsidR="00EE237A" w:rsidRPr="00851BE0" w:rsidRDefault="00836024" w:rsidP="00F07C4C">
      <w:pPr>
        <w:ind w:firstLine="709"/>
        <w:contextualSpacing/>
        <w:jc w:val="both"/>
        <w:rPr>
          <w:lang w:val="uk-UA"/>
        </w:rPr>
      </w:pPr>
      <w:r>
        <w:rPr>
          <w:lang w:val="uk-UA"/>
        </w:rPr>
        <w:t>6</w:t>
      </w:r>
      <w:r w:rsidR="00D53EBA">
        <w:rPr>
          <w:lang w:val="uk-UA"/>
        </w:rPr>
        <w:t xml:space="preserve">.1. </w:t>
      </w:r>
      <w:r w:rsidR="0073159C" w:rsidRPr="00851BE0">
        <w:rPr>
          <w:lang w:val="uk-UA"/>
        </w:rPr>
        <w:t>пункт</w:t>
      </w:r>
      <w:r w:rsidR="008103BA">
        <w:rPr>
          <w:lang w:val="uk-UA"/>
        </w:rPr>
        <w:t>и</w:t>
      </w:r>
      <w:r w:rsidR="0073159C" w:rsidRPr="00851BE0">
        <w:rPr>
          <w:lang w:val="uk-UA"/>
        </w:rPr>
        <w:t xml:space="preserve"> </w:t>
      </w:r>
      <w:r w:rsidR="008103BA">
        <w:rPr>
          <w:lang w:val="uk-UA"/>
        </w:rPr>
        <w:t>3, 5</w:t>
      </w:r>
      <w:r w:rsidR="0073159C" w:rsidRPr="00851BE0">
        <w:rPr>
          <w:lang w:val="uk-UA"/>
        </w:rPr>
        <w:t xml:space="preserve"> викласти у такій редакції:</w:t>
      </w:r>
    </w:p>
    <w:p w:rsidR="0073159C" w:rsidRPr="008103BA" w:rsidRDefault="0073159C" w:rsidP="0073159C">
      <w:pPr>
        <w:ind w:firstLine="708"/>
        <w:rPr>
          <w:lang w:val="uk-UA"/>
        </w:rPr>
      </w:pPr>
      <w:r w:rsidRPr="008103BA">
        <w:rPr>
          <w:lang w:val="uk-UA"/>
        </w:rPr>
        <w:t>«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403"/>
      </w:tblGrid>
      <w:tr w:rsidR="00D03CF8" w:rsidRPr="00D03CF8" w:rsidTr="00795A27">
        <w:trPr>
          <w:trHeight w:val="288"/>
        </w:trPr>
        <w:tc>
          <w:tcPr>
            <w:tcW w:w="704" w:type="dxa"/>
            <w:noWrap/>
            <w:hideMark/>
          </w:tcPr>
          <w:p w:rsidR="00D03CF8" w:rsidRPr="00D03CF8" w:rsidRDefault="00D03CF8" w:rsidP="00D03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03CF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6804" w:type="dxa"/>
            <w:hideMark/>
          </w:tcPr>
          <w:p w:rsidR="00D03CF8" w:rsidRPr="00D03CF8" w:rsidRDefault="00D03CF8" w:rsidP="00D03CF8">
            <w:pPr>
              <w:rPr>
                <w:color w:val="000000"/>
                <w:sz w:val="24"/>
                <w:szCs w:val="24"/>
                <w:lang w:val="uk-UA"/>
              </w:rPr>
            </w:pPr>
            <w:r w:rsidRPr="00D03CF8">
              <w:rPr>
                <w:color w:val="000000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D03CF8">
              <w:rPr>
                <w:color w:val="000000"/>
                <w:sz w:val="24"/>
                <w:szCs w:val="24"/>
                <w:lang w:val="uk-UA"/>
              </w:rPr>
              <w:t>Чорновола</w:t>
            </w:r>
            <w:proofErr w:type="spellEnd"/>
            <w:r w:rsidRPr="00D03CF8">
              <w:rPr>
                <w:color w:val="000000"/>
                <w:sz w:val="24"/>
                <w:szCs w:val="24"/>
                <w:lang w:val="uk-UA"/>
              </w:rPr>
              <w:t xml:space="preserve"> в м. Вишневе Києво-Святошинського району Київської області</w:t>
            </w:r>
          </w:p>
        </w:tc>
        <w:tc>
          <w:tcPr>
            <w:tcW w:w="2403" w:type="dxa"/>
            <w:hideMark/>
          </w:tcPr>
          <w:p w:rsidR="00D03CF8" w:rsidRPr="008103BA" w:rsidRDefault="008103BA" w:rsidP="00D03CF8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1 294,656</w:t>
            </w:r>
          </w:p>
        </w:tc>
      </w:tr>
      <w:tr w:rsidR="00D03CF8" w:rsidRPr="00D03CF8" w:rsidTr="00795A27">
        <w:trPr>
          <w:trHeight w:val="148"/>
        </w:trPr>
        <w:tc>
          <w:tcPr>
            <w:tcW w:w="704" w:type="dxa"/>
            <w:noWrap/>
            <w:hideMark/>
          </w:tcPr>
          <w:p w:rsidR="00D03CF8" w:rsidRPr="00D03CF8" w:rsidRDefault="00D03CF8" w:rsidP="00D03CF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</w:pPr>
            <w:r w:rsidRPr="00D03CF8">
              <w:rPr>
                <w:rFonts w:ascii="Calibri" w:hAnsi="Calibri" w:cs="Calibri"/>
                <w:color w:val="000000"/>
                <w:sz w:val="22"/>
                <w:szCs w:val="22"/>
                <w:lang w:val="uk-UA"/>
              </w:rPr>
              <w:t>5</w:t>
            </w:r>
          </w:p>
        </w:tc>
        <w:tc>
          <w:tcPr>
            <w:tcW w:w="6804" w:type="dxa"/>
            <w:hideMark/>
          </w:tcPr>
          <w:p w:rsidR="00D03CF8" w:rsidRPr="00D03CF8" w:rsidRDefault="00D03CF8" w:rsidP="00D03CF8">
            <w:pPr>
              <w:rPr>
                <w:color w:val="000000"/>
                <w:sz w:val="24"/>
                <w:szCs w:val="24"/>
                <w:lang w:val="uk-UA"/>
              </w:rPr>
            </w:pPr>
            <w:r w:rsidRPr="00D03CF8">
              <w:rPr>
                <w:color w:val="000000"/>
                <w:sz w:val="24"/>
                <w:szCs w:val="24"/>
                <w:lang w:val="uk-UA"/>
              </w:rPr>
              <w:t>вул. Ватутіна в м. Вишневе Києво-Святошинського району Київської області</w:t>
            </w:r>
          </w:p>
        </w:tc>
        <w:tc>
          <w:tcPr>
            <w:tcW w:w="2403" w:type="dxa"/>
            <w:hideMark/>
          </w:tcPr>
          <w:p w:rsidR="00D03CF8" w:rsidRPr="008103BA" w:rsidRDefault="0088655A" w:rsidP="008103BA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4 </w:t>
            </w:r>
            <w:r w:rsidR="008103BA">
              <w:rPr>
                <w:color w:val="000000"/>
                <w:sz w:val="24"/>
                <w:szCs w:val="24"/>
                <w:lang w:val="uk-UA"/>
              </w:rPr>
              <w:t>798</w:t>
            </w:r>
            <w:r>
              <w:rPr>
                <w:color w:val="000000"/>
                <w:sz w:val="24"/>
                <w:szCs w:val="24"/>
                <w:lang w:val="en-US"/>
              </w:rPr>
              <w:t>.</w:t>
            </w:r>
            <w:r w:rsidR="008103BA">
              <w:rPr>
                <w:color w:val="000000"/>
                <w:sz w:val="24"/>
                <w:szCs w:val="24"/>
                <w:lang w:val="uk-UA"/>
              </w:rPr>
              <w:t>667</w:t>
            </w:r>
          </w:p>
        </w:tc>
      </w:tr>
    </w:tbl>
    <w:p w:rsidR="00D53EBA" w:rsidRDefault="00D53EBA" w:rsidP="00D53EBA">
      <w:pPr>
        <w:jc w:val="right"/>
        <w:rPr>
          <w:lang w:val="uk-UA"/>
        </w:rPr>
      </w:pPr>
      <w:r>
        <w:rPr>
          <w:lang w:val="uk-UA"/>
        </w:rPr>
        <w:t>»</w:t>
      </w:r>
    </w:p>
    <w:p w:rsidR="00D53EBA" w:rsidRDefault="00836024" w:rsidP="00836024">
      <w:pPr>
        <w:ind w:firstLine="709"/>
        <w:rPr>
          <w:lang w:val="uk-UA"/>
        </w:rPr>
      </w:pPr>
      <w:r>
        <w:rPr>
          <w:lang w:val="uk-UA"/>
        </w:rPr>
        <w:t>6</w:t>
      </w:r>
      <w:r w:rsidR="00D53EBA" w:rsidRPr="00C96AD4">
        <w:rPr>
          <w:lang w:val="uk-UA"/>
        </w:rPr>
        <w:t>.2. цифри «</w:t>
      </w:r>
      <w:r w:rsidR="00D53EBA">
        <w:rPr>
          <w:lang w:val="uk-UA"/>
        </w:rPr>
        <w:t>11</w:t>
      </w:r>
      <w:r w:rsidR="00D53EBA" w:rsidRPr="00C96AD4">
        <w:rPr>
          <w:lang w:val="uk-UA"/>
        </w:rPr>
        <w:t xml:space="preserve"> </w:t>
      </w:r>
      <w:r w:rsidR="00D53EBA">
        <w:rPr>
          <w:lang w:val="uk-UA"/>
        </w:rPr>
        <w:t>193</w:t>
      </w:r>
      <w:r w:rsidR="00D53EBA" w:rsidRPr="00C96AD4">
        <w:rPr>
          <w:lang w:val="uk-UA"/>
        </w:rPr>
        <w:t>,</w:t>
      </w:r>
      <w:r w:rsidR="00D53EBA">
        <w:rPr>
          <w:lang w:val="uk-UA"/>
        </w:rPr>
        <w:t>801</w:t>
      </w:r>
      <w:r w:rsidR="00D53EBA" w:rsidRPr="00C96AD4">
        <w:rPr>
          <w:lang w:val="uk-UA"/>
        </w:rPr>
        <w:t>» замінити на цифри «1</w:t>
      </w:r>
      <w:r w:rsidR="00D53EBA">
        <w:rPr>
          <w:lang w:val="uk-UA"/>
        </w:rPr>
        <w:t>0</w:t>
      </w:r>
      <w:r w:rsidR="00D53EBA" w:rsidRPr="00C96AD4">
        <w:rPr>
          <w:lang w:val="uk-UA"/>
        </w:rPr>
        <w:t xml:space="preserve"> </w:t>
      </w:r>
      <w:r w:rsidR="00D53EBA">
        <w:rPr>
          <w:lang w:val="uk-UA"/>
        </w:rPr>
        <w:t>049</w:t>
      </w:r>
      <w:r w:rsidR="00D53EBA" w:rsidRPr="00C96AD4">
        <w:rPr>
          <w:lang w:val="uk-UA"/>
        </w:rPr>
        <w:t>,</w:t>
      </w:r>
      <w:r w:rsidR="00D53EBA">
        <w:rPr>
          <w:lang w:val="uk-UA"/>
        </w:rPr>
        <w:t>07</w:t>
      </w:r>
      <w:r w:rsidR="003819E2">
        <w:rPr>
          <w:lang w:val="uk-UA"/>
        </w:rPr>
        <w:t>9</w:t>
      </w:r>
      <w:r w:rsidR="00D53EBA" w:rsidRPr="00C96AD4">
        <w:rPr>
          <w:lang w:val="uk-UA"/>
        </w:rPr>
        <w:t>».</w:t>
      </w:r>
    </w:p>
    <w:p w:rsidR="00074922" w:rsidRDefault="00074922" w:rsidP="00836024">
      <w:pPr>
        <w:ind w:firstLine="709"/>
        <w:rPr>
          <w:lang w:val="uk-UA"/>
        </w:rPr>
      </w:pPr>
    </w:p>
    <w:p w:rsidR="00074922" w:rsidRDefault="00074922" w:rsidP="00836024">
      <w:pPr>
        <w:ind w:firstLine="709"/>
        <w:rPr>
          <w:lang w:val="uk-UA"/>
        </w:rPr>
      </w:pPr>
    </w:p>
    <w:p w:rsidR="00074922" w:rsidRPr="00074922" w:rsidRDefault="00074922" w:rsidP="00074922">
      <w:pPr>
        <w:ind w:firstLine="709"/>
        <w:jc w:val="center"/>
        <w:rPr>
          <w:b/>
          <w:lang w:val="uk-UA"/>
        </w:rPr>
      </w:pPr>
      <w:r w:rsidRPr="00074922">
        <w:rPr>
          <w:b/>
          <w:lang w:val="uk-UA"/>
        </w:rPr>
        <w:t xml:space="preserve">Заступник голови ради        </w:t>
      </w:r>
      <w:r>
        <w:rPr>
          <w:b/>
          <w:lang w:val="uk-UA"/>
        </w:rPr>
        <w:t xml:space="preserve"> </w:t>
      </w:r>
      <w:r w:rsidRPr="00074922">
        <w:rPr>
          <w:b/>
          <w:lang w:val="uk-UA"/>
        </w:rPr>
        <w:t xml:space="preserve">        </w:t>
      </w:r>
      <w:r>
        <w:rPr>
          <w:b/>
          <w:lang w:val="uk-UA"/>
        </w:rPr>
        <w:t xml:space="preserve">         </w:t>
      </w:r>
      <w:r w:rsidRPr="00074922">
        <w:rPr>
          <w:b/>
          <w:lang w:val="uk-UA"/>
        </w:rPr>
        <w:t xml:space="preserve">               М.А. Стариченко</w:t>
      </w:r>
    </w:p>
    <w:sectPr w:rsidR="00074922" w:rsidRPr="00074922" w:rsidSect="00074922">
      <w:headerReference w:type="default" r:id="rId8"/>
      <w:pgSz w:w="11906" w:h="16838"/>
      <w:pgMar w:top="851" w:right="851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240" w:rsidRDefault="00496240" w:rsidP="00ED58FB">
      <w:r>
        <w:separator/>
      </w:r>
    </w:p>
  </w:endnote>
  <w:endnote w:type="continuationSeparator" w:id="0">
    <w:p w:rsidR="00496240" w:rsidRDefault="00496240" w:rsidP="00ED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240" w:rsidRDefault="00496240" w:rsidP="00ED58FB">
      <w:r>
        <w:separator/>
      </w:r>
    </w:p>
  </w:footnote>
  <w:footnote w:type="continuationSeparator" w:id="0">
    <w:p w:rsidR="00496240" w:rsidRDefault="00496240" w:rsidP="00ED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505300"/>
      <w:docPartObj>
        <w:docPartGallery w:val="Page Numbers (Top of Page)"/>
        <w:docPartUnique/>
      </w:docPartObj>
    </w:sdtPr>
    <w:sdtEndPr/>
    <w:sdtContent>
      <w:p w:rsidR="00074922" w:rsidRDefault="0007492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52C">
          <w:rPr>
            <w:noProof/>
          </w:rPr>
          <w:t>2</w:t>
        </w:r>
        <w:r>
          <w:fldChar w:fldCharType="end"/>
        </w:r>
      </w:p>
    </w:sdtContent>
  </w:sdt>
  <w:p w:rsidR="00074922" w:rsidRDefault="0007492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764C"/>
    <w:multiLevelType w:val="hybridMultilevel"/>
    <w:tmpl w:val="6FC8A538"/>
    <w:lvl w:ilvl="0" w:tplc="4508D262">
      <w:start w:val="2"/>
      <w:numFmt w:val="bullet"/>
      <w:lvlText w:val="–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170E2DC2"/>
    <w:multiLevelType w:val="hybridMultilevel"/>
    <w:tmpl w:val="EBE2F3A0"/>
    <w:lvl w:ilvl="0" w:tplc="1A52FF72">
      <w:start w:val="219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28C0523"/>
    <w:multiLevelType w:val="hybridMultilevel"/>
    <w:tmpl w:val="BB72B3DE"/>
    <w:lvl w:ilvl="0" w:tplc="425ADB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326366"/>
    <w:multiLevelType w:val="hybridMultilevel"/>
    <w:tmpl w:val="9370D13C"/>
    <w:lvl w:ilvl="0" w:tplc="C50879E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5DE"/>
    <w:multiLevelType w:val="hybridMultilevel"/>
    <w:tmpl w:val="978E90BA"/>
    <w:lvl w:ilvl="0" w:tplc="EA4274CE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BD"/>
    <w:rsid w:val="00016974"/>
    <w:rsid w:val="00021E43"/>
    <w:rsid w:val="000248CB"/>
    <w:rsid w:val="000260A2"/>
    <w:rsid w:val="00036E11"/>
    <w:rsid w:val="00046534"/>
    <w:rsid w:val="00051C32"/>
    <w:rsid w:val="00052063"/>
    <w:rsid w:val="000544C0"/>
    <w:rsid w:val="00074922"/>
    <w:rsid w:val="0007746F"/>
    <w:rsid w:val="00093E0F"/>
    <w:rsid w:val="00097887"/>
    <w:rsid w:val="000A156D"/>
    <w:rsid w:val="000A15D0"/>
    <w:rsid w:val="000A70C5"/>
    <w:rsid w:val="000B204B"/>
    <w:rsid w:val="000B654D"/>
    <w:rsid w:val="000C0BC7"/>
    <w:rsid w:val="000D1B31"/>
    <w:rsid w:val="000D6DAB"/>
    <w:rsid w:val="000F7BD6"/>
    <w:rsid w:val="00105741"/>
    <w:rsid w:val="0010701A"/>
    <w:rsid w:val="00112C5E"/>
    <w:rsid w:val="00120C43"/>
    <w:rsid w:val="00136F49"/>
    <w:rsid w:val="001408E5"/>
    <w:rsid w:val="0014301C"/>
    <w:rsid w:val="0015057D"/>
    <w:rsid w:val="001526BE"/>
    <w:rsid w:val="0015645F"/>
    <w:rsid w:val="001566AE"/>
    <w:rsid w:val="00156F7E"/>
    <w:rsid w:val="0016595F"/>
    <w:rsid w:val="001665E2"/>
    <w:rsid w:val="00170852"/>
    <w:rsid w:val="001741C4"/>
    <w:rsid w:val="00176208"/>
    <w:rsid w:val="00184ECA"/>
    <w:rsid w:val="0019226B"/>
    <w:rsid w:val="00192C6B"/>
    <w:rsid w:val="001B5527"/>
    <w:rsid w:val="001C0074"/>
    <w:rsid w:val="001D0414"/>
    <w:rsid w:val="001D7FC8"/>
    <w:rsid w:val="001E36F8"/>
    <w:rsid w:val="001E4937"/>
    <w:rsid w:val="001E552D"/>
    <w:rsid w:val="001E75AE"/>
    <w:rsid w:val="001F45D6"/>
    <w:rsid w:val="00201970"/>
    <w:rsid w:val="00201AB8"/>
    <w:rsid w:val="00211495"/>
    <w:rsid w:val="002138C8"/>
    <w:rsid w:val="00216203"/>
    <w:rsid w:val="00223EFF"/>
    <w:rsid w:val="0024256B"/>
    <w:rsid w:val="002426BE"/>
    <w:rsid w:val="002439F7"/>
    <w:rsid w:val="00246447"/>
    <w:rsid w:val="00255154"/>
    <w:rsid w:val="00275DB9"/>
    <w:rsid w:val="00283A54"/>
    <w:rsid w:val="002855F4"/>
    <w:rsid w:val="002A7780"/>
    <w:rsid w:val="002C3F66"/>
    <w:rsid w:val="002D3681"/>
    <w:rsid w:val="002D48F7"/>
    <w:rsid w:val="002E4F7C"/>
    <w:rsid w:val="002E63E3"/>
    <w:rsid w:val="002E764E"/>
    <w:rsid w:val="002F0390"/>
    <w:rsid w:val="002F0CBF"/>
    <w:rsid w:val="002F52E2"/>
    <w:rsid w:val="002F736A"/>
    <w:rsid w:val="0030020A"/>
    <w:rsid w:val="00310B83"/>
    <w:rsid w:val="00317202"/>
    <w:rsid w:val="00325CF2"/>
    <w:rsid w:val="00330038"/>
    <w:rsid w:val="00334761"/>
    <w:rsid w:val="0033678C"/>
    <w:rsid w:val="003401CC"/>
    <w:rsid w:val="0034688B"/>
    <w:rsid w:val="003819E2"/>
    <w:rsid w:val="0038358E"/>
    <w:rsid w:val="00385A7F"/>
    <w:rsid w:val="00393B27"/>
    <w:rsid w:val="00393DA1"/>
    <w:rsid w:val="00394271"/>
    <w:rsid w:val="003A031E"/>
    <w:rsid w:val="003A48DE"/>
    <w:rsid w:val="003A5ECA"/>
    <w:rsid w:val="003A7393"/>
    <w:rsid w:val="003B0AF7"/>
    <w:rsid w:val="003B6807"/>
    <w:rsid w:val="003C74EC"/>
    <w:rsid w:val="003D75D1"/>
    <w:rsid w:val="003D7675"/>
    <w:rsid w:val="003F0066"/>
    <w:rsid w:val="003F477D"/>
    <w:rsid w:val="004004C9"/>
    <w:rsid w:val="00402F03"/>
    <w:rsid w:val="00413232"/>
    <w:rsid w:val="00437F67"/>
    <w:rsid w:val="0044478D"/>
    <w:rsid w:val="0044602E"/>
    <w:rsid w:val="0045330A"/>
    <w:rsid w:val="004551BD"/>
    <w:rsid w:val="004739E7"/>
    <w:rsid w:val="0047676D"/>
    <w:rsid w:val="00492348"/>
    <w:rsid w:val="00496240"/>
    <w:rsid w:val="004A40AA"/>
    <w:rsid w:val="004B4AD6"/>
    <w:rsid w:val="004C6674"/>
    <w:rsid w:val="004D42BC"/>
    <w:rsid w:val="004D76EB"/>
    <w:rsid w:val="004E0A12"/>
    <w:rsid w:val="004E1FB1"/>
    <w:rsid w:val="004E49C6"/>
    <w:rsid w:val="004F5B20"/>
    <w:rsid w:val="00505579"/>
    <w:rsid w:val="005149E3"/>
    <w:rsid w:val="0052094C"/>
    <w:rsid w:val="00520C8A"/>
    <w:rsid w:val="005432AF"/>
    <w:rsid w:val="00552A25"/>
    <w:rsid w:val="00555D4C"/>
    <w:rsid w:val="00562A1A"/>
    <w:rsid w:val="00572A65"/>
    <w:rsid w:val="005732FB"/>
    <w:rsid w:val="00575FA0"/>
    <w:rsid w:val="005851B4"/>
    <w:rsid w:val="0058578D"/>
    <w:rsid w:val="005A51E1"/>
    <w:rsid w:val="005A677B"/>
    <w:rsid w:val="005A69C6"/>
    <w:rsid w:val="005B1002"/>
    <w:rsid w:val="005E7F6D"/>
    <w:rsid w:val="005E7FB7"/>
    <w:rsid w:val="005F0D92"/>
    <w:rsid w:val="005F1E5A"/>
    <w:rsid w:val="005F49A1"/>
    <w:rsid w:val="005F59FE"/>
    <w:rsid w:val="0060185D"/>
    <w:rsid w:val="0060358E"/>
    <w:rsid w:val="00617AD4"/>
    <w:rsid w:val="006348A4"/>
    <w:rsid w:val="00634C9E"/>
    <w:rsid w:val="006353FA"/>
    <w:rsid w:val="00637505"/>
    <w:rsid w:val="00640662"/>
    <w:rsid w:val="00642900"/>
    <w:rsid w:val="00647A3F"/>
    <w:rsid w:val="0065245A"/>
    <w:rsid w:val="00657EC4"/>
    <w:rsid w:val="00666681"/>
    <w:rsid w:val="006666D6"/>
    <w:rsid w:val="00674D00"/>
    <w:rsid w:val="00681A7C"/>
    <w:rsid w:val="006965FE"/>
    <w:rsid w:val="00696F67"/>
    <w:rsid w:val="006A7DAE"/>
    <w:rsid w:val="006B070E"/>
    <w:rsid w:val="006B3622"/>
    <w:rsid w:val="006B7728"/>
    <w:rsid w:val="006C0D59"/>
    <w:rsid w:val="006D4801"/>
    <w:rsid w:val="006D6C49"/>
    <w:rsid w:val="006E3B07"/>
    <w:rsid w:val="006F089C"/>
    <w:rsid w:val="00704905"/>
    <w:rsid w:val="00710CB1"/>
    <w:rsid w:val="007113AD"/>
    <w:rsid w:val="007166C7"/>
    <w:rsid w:val="007272EC"/>
    <w:rsid w:val="0073159C"/>
    <w:rsid w:val="007334CA"/>
    <w:rsid w:val="007377FF"/>
    <w:rsid w:val="007379EE"/>
    <w:rsid w:val="007406F5"/>
    <w:rsid w:val="00741C97"/>
    <w:rsid w:val="00744570"/>
    <w:rsid w:val="007462A7"/>
    <w:rsid w:val="00747F99"/>
    <w:rsid w:val="00751942"/>
    <w:rsid w:val="00753784"/>
    <w:rsid w:val="00754AAB"/>
    <w:rsid w:val="00761314"/>
    <w:rsid w:val="00762724"/>
    <w:rsid w:val="0077107C"/>
    <w:rsid w:val="00784760"/>
    <w:rsid w:val="007874E7"/>
    <w:rsid w:val="007936A3"/>
    <w:rsid w:val="00795969"/>
    <w:rsid w:val="00795A27"/>
    <w:rsid w:val="007A39DD"/>
    <w:rsid w:val="007A438A"/>
    <w:rsid w:val="007C33E6"/>
    <w:rsid w:val="007E221E"/>
    <w:rsid w:val="007F23CE"/>
    <w:rsid w:val="0080152C"/>
    <w:rsid w:val="0080231C"/>
    <w:rsid w:val="008103BA"/>
    <w:rsid w:val="008151A9"/>
    <w:rsid w:val="0081554B"/>
    <w:rsid w:val="00836024"/>
    <w:rsid w:val="00840C17"/>
    <w:rsid w:val="00851BE0"/>
    <w:rsid w:val="00851F61"/>
    <w:rsid w:val="0085402F"/>
    <w:rsid w:val="00871586"/>
    <w:rsid w:val="00871C8C"/>
    <w:rsid w:val="008757FA"/>
    <w:rsid w:val="00876B1F"/>
    <w:rsid w:val="00876E58"/>
    <w:rsid w:val="00882623"/>
    <w:rsid w:val="0088655A"/>
    <w:rsid w:val="008A0C2F"/>
    <w:rsid w:val="008A5A3A"/>
    <w:rsid w:val="008A6252"/>
    <w:rsid w:val="008B6F95"/>
    <w:rsid w:val="008C04DD"/>
    <w:rsid w:val="009007F7"/>
    <w:rsid w:val="00903070"/>
    <w:rsid w:val="00920B50"/>
    <w:rsid w:val="00921B85"/>
    <w:rsid w:val="00935529"/>
    <w:rsid w:val="00937549"/>
    <w:rsid w:val="009545E8"/>
    <w:rsid w:val="00960D29"/>
    <w:rsid w:val="00973764"/>
    <w:rsid w:val="009764C4"/>
    <w:rsid w:val="00977C8D"/>
    <w:rsid w:val="009861A7"/>
    <w:rsid w:val="009B59AF"/>
    <w:rsid w:val="009C0072"/>
    <w:rsid w:val="009C6303"/>
    <w:rsid w:val="009C75F2"/>
    <w:rsid w:val="009D1FFD"/>
    <w:rsid w:val="009D3B10"/>
    <w:rsid w:val="009F71C9"/>
    <w:rsid w:val="00A21FA8"/>
    <w:rsid w:val="00A240B9"/>
    <w:rsid w:val="00A25219"/>
    <w:rsid w:val="00A25A3F"/>
    <w:rsid w:val="00A34432"/>
    <w:rsid w:val="00A4254A"/>
    <w:rsid w:val="00A60611"/>
    <w:rsid w:val="00A644EA"/>
    <w:rsid w:val="00A709EC"/>
    <w:rsid w:val="00A76F2E"/>
    <w:rsid w:val="00A861E2"/>
    <w:rsid w:val="00A90131"/>
    <w:rsid w:val="00A9042E"/>
    <w:rsid w:val="00A96C23"/>
    <w:rsid w:val="00AA5698"/>
    <w:rsid w:val="00AA6C4D"/>
    <w:rsid w:val="00AA6FC0"/>
    <w:rsid w:val="00AC459A"/>
    <w:rsid w:val="00AD1859"/>
    <w:rsid w:val="00AD6EA7"/>
    <w:rsid w:val="00AE07DE"/>
    <w:rsid w:val="00AE5CA2"/>
    <w:rsid w:val="00AF605E"/>
    <w:rsid w:val="00B05E2A"/>
    <w:rsid w:val="00B13CC8"/>
    <w:rsid w:val="00B22A3A"/>
    <w:rsid w:val="00B263EB"/>
    <w:rsid w:val="00B269CD"/>
    <w:rsid w:val="00B3094D"/>
    <w:rsid w:val="00B416F9"/>
    <w:rsid w:val="00B55665"/>
    <w:rsid w:val="00B7411F"/>
    <w:rsid w:val="00B85C94"/>
    <w:rsid w:val="00B9396F"/>
    <w:rsid w:val="00BA0462"/>
    <w:rsid w:val="00BA2E34"/>
    <w:rsid w:val="00BA7A0E"/>
    <w:rsid w:val="00BB004A"/>
    <w:rsid w:val="00BB079D"/>
    <w:rsid w:val="00BC2EC3"/>
    <w:rsid w:val="00BC4507"/>
    <w:rsid w:val="00BD42CC"/>
    <w:rsid w:val="00BD780C"/>
    <w:rsid w:val="00BE47D3"/>
    <w:rsid w:val="00BE7B29"/>
    <w:rsid w:val="00BF4CD7"/>
    <w:rsid w:val="00C07713"/>
    <w:rsid w:val="00C1362A"/>
    <w:rsid w:val="00C1450F"/>
    <w:rsid w:val="00C2168D"/>
    <w:rsid w:val="00C22820"/>
    <w:rsid w:val="00C22ED2"/>
    <w:rsid w:val="00C23C2D"/>
    <w:rsid w:val="00C42473"/>
    <w:rsid w:val="00C52D17"/>
    <w:rsid w:val="00C97043"/>
    <w:rsid w:val="00CA1C2C"/>
    <w:rsid w:val="00CA7CD8"/>
    <w:rsid w:val="00CC6CE1"/>
    <w:rsid w:val="00CE2997"/>
    <w:rsid w:val="00CE33B2"/>
    <w:rsid w:val="00CF7A64"/>
    <w:rsid w:val="00D03CF8"/>
    <w:rsid w:val="00D07A4C"/>
    <w:rsid w:val="00D121AB"/>
    <w:rsid w:val="00D1364B"/>
    <w:rsid w:val="00D27AFB"/>
    <w:rsid w:val="00D357F2"/>
    <w:rsid w:val="00D40F18"/>
    <w:rsid w:val="00D52CC1"/>
    <w:rsid w:val="00D53EBA"/>
    <w:rsid w:val="00D60211"/>
    <w:rsid w:val="00D63A5E"/>
    <w:rsid w:val="00D67593"/>
    <w:rsid w:val="00D71BA4"/>
    <w:rsid w:val="00D74FED"/>
    <w:rsid w:val="00D76C5C"/>
    <w:rsid w:val="00D86E65"/>
    <w:rsid w:val="00D97AA8"/>
    <w:rsid w:val="00DA586D"/>
    <w:rsid w:val="00DD110D"/>
    <w:rsid w:val="00DD3B17"/>
    <w:rsid w:val="00DE123B"/>
    <w:rsid w:val="00DF0148"/>
    <w:rsid w:val="00E03A96"/>
    <w:rsid w:val="00E17D68"/>
    <w:rsid w:val="00E2213F"/>
    <w:rsid w:val="00E232CB"/>
    <w:rsid w:val="00E24E92"/>
    <w:rsid w:val="00E260B7"/>
    <w:rsid w:val="00E33811"/>
    <w:rsid w:val="00E338AE"/>
    <w:rsid w:val="00E36846"/>
    <w:rsid w:val="00E4155E"/>
    <w:rsid w:val="00E419C1"/>
    <w:rsid w:val="00E4325D"/>
    <w:rsid w:val="00E4405E"/>
    <w:rsid w:val="00E4472E"/>
    <w:rsid w:val="00E51822"/>
    <w:rsid w:val="00E55E6F"/>
    <w:rsid w:val="00E6031C"/>
    <w:rsid w:val="00E678BF"/>
    <w:rsid w:val="00E83F6B"/>
    <w:rsid w:val="00E92311"/>
    <w:rsid w:val="00EA7F1E"/>
    <w:rsid w:val="00EB5559"/>
    <w:rsid w:val="00EC147A"/>
    <w:rsid w:val="00EC34B1"/>
    <w:rsid w:val="00EC490D"/>
    <w:rsid w:val="00ED2E4C"/>
    <w:rsid w:val="00ED58FB"/>
    <w:rsid w:val="00EE1840"/>
    <w:rsid w:val="00EE1B37"/>
    <w:rsid w:val="00EE237A"/>
    <w:rsid w:val="00EF23B7"/>
    <w:rsid w:val="00EF26B4"/>
    <w:rsid w:val="00EF6D71"/>
    <w:rsid w:val="00F02065"/>
    <w:rsid w:val="00F07C4C"/>
    <w:rsid w:val="00F11806"/>
    <w:rsid w:val="00F17F49"/>
    <w:rsid w:val="00F25A29"/>
    <w:rsid w:val="00F34B4B"/>
    <w:rsid w:val="00F44A84"/>
    <w:rsid w:val="00F539A4"/>
    <w:rsid w:val="00F55718"/>
    <w:rsid w:val="00F56A8B"/>
    <w:rsid w:val="00F60B9E"/>
    <w:rsid w:val="00F70DB6"/>
    <w:rsid w:val="00F72800"/>
    <w:rsid w:val="00F91578"/>
    <w:rsid w:val="00F92A81"/>
    <w:rsid w:val="00F9704E"/>
    <w:rsid w:val="00FB03EC"/>
    <w:rsid w:val="00FC7587"/>
    <w:rsid w:val="00FD080B"/>
    <w:rsid w:val="00FD4E7A"/>
    <w:rsid w:val="00FE00AF"/>
    <w:rsid w:val="00FF2B3F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26286"/>
  <w15:docId w15:val="{CC8C108D-05D7-4511-B70D-C6F5EC5E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8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551BD"/>
    <w:pPr>
      <w:suppressAutoHyphens/>
      <w:spacing w:before="100" w:after="100"/>
    </w:pPr>
    <w:rPr>
      <w:rFonts w:eastAsia="SimSun"/>
      <w:sz w:val="24"/>
      <w:szCs w:val="24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E24E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4E9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0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D58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58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ED58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58F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6"/>
    <w:uiPriority w:val="39"/>
    <w:rsid w:val="00ED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4247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c">
    <w:name w:val="Нормальний текст"/>
    <w:basedOn w:val="a"/>
    <w:rsid w:val="00C2168D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styleId="ad">
    <w:name w:val="List Paragraph"/>
    <w:basedOn w:val="a"/>
    <w:uiPriority w:val="34"/>
    <w:qFormat/>
    <w:rsid w:val="00492348"/>
    <w:pPr>
      <w:ind w:left="720"/>
      <w:contextualSpacing/>
    </w:pPr>
  </w:style>
  <w:style w:type="character" w:customStyle="1" w:styleId="docdata">
    <w:name w:val="docdata"/>
    <w:aliases w:val="docy,v5,5122,baiaagaaboqcaaadobiaaavgegaaaaaaaaaaaaaaaaaaaaaaaaaaaaaaaaaaaaaaaaaaaaaaaaaaaaaaaaaaaaaaaaaaaaaaaaaaaaaaaaaaaaaaaaaaaaaaaaaaaaaaaaaaaaaaaaaaaaaaaaaaaaaaaaaaaaaaaaaaaaaaaaaaaaaaaaaaaaaaaaaaaaaaaaaaaaaaaaaaaaaaaaaaaaaaaaaaaaaaaaaaaaaa"/>
    <w:basedOn w:val="a0"/>
    <w:rsid w:val="00093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AE035-3C78-4BBF-B07B-B9D98DFF2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6207</Words>
  <Characters>3539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Захарченко Любов Петрівна</cp:lastModifiedBy>
  <cp:revision>5</cp:revision>
  <cp:lastPrinted>2018-12-18T08:47:00Z</cp:lastPrinted>
  <dcterms:created xsi:type="dcterms:W3CDTF">2018-12-20T14:33:00Z</dcterms:created>
  <dcterms:modified xsi:type="dcterms:W3CDTF">2018-12-20T16:34:00Z</dcterms:modified>
</cp:coreProperties>
</file>